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4D1043C5" w:rsidR="00E66558" w:rsidRDefault="009D71E8">
      <w:pPr>
        <w:pStyle w:val="Heading1"/>
      </w:pPr>
      <w:bookmarkStart w:id="0" w:name="_Toc400361362"/>
      <w:bookmarkStart w:id="1" w:name="_Toc443397153"/>
      <w:bookmarkStart w:id="2" w:name="_Toc357771638"/>
      <w:bookmarkStart w:id="3" w:name="_Toc346793416"/>
      <w:bookmarkStart w:id="4" w:name="_Toc328122777"/>
      <w:r>
        <w:t xml:space="preserve">Pupil </w:t>
      </w:r>
      <w:r w:rsidR="02762659">
        <w:t>Premium S</w:t>
      </w:r>
      <w:r>
        <w:t xml:space="preserve">trategy </w:t>
      </w:r>
      <w:r w:rsidR="23FEA335">
        <w:t>S</w:t>
      </w:r>
      <w: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48B523A3">
        <w:t>St Mary’s</w:t>
      </w:r>
    </w:p>
    <w:p w14:paraId="77015CC2" w14:textId="77777777"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4CADF27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4CADF27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0D9ADB98" w:rsidR="002940F3" w:rsidRDefault="0789ADF8">
            <w:pPr>
              <w:pStyle w:val="TableRow"/>
            </w:pPr>
            <w:r w:rsidRPr="001A30C8">
              <w:t>104</w:t>
            </w:r>
          </w:p>
        </w:tc>
      </w:tr>
      <w:tr w:rsidR="002940F3" w14:paraId="2A7D54BD" w14:textId="77777777" w:rsidTr="4CADF27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3F1DABFB" w:rsidR="002940F3" w:rsidRDefault="00B20C0D">
            <w:pPr>
              <w:pStyle w:val="TableRow"/>
            </w:pPr>
            <w:r>
              <w:t>43%</w:t>
            </w:r>
          </w:p>
        </w:tc>
      </w:tr>
      <w:tr w:rsidR="002940F3" w14:paraId="2A7D54C0" w14:textId="77777777" w:rsidTr="4CADF27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30FF54D5" w:rsidR="002940F3" w:rsidRDefault="002940F3">
            <w:pPr>
              <w:pStyle w:val="TableRow"/>
            </w:pPr>
            <w:r>
              <w:t xml:space="preserve">Academic year/years that our current pupil premium strategy plan covers </w:t>
            </w:r>
            <w:r w:rsidRPr="1CBF4D92">
              <w:rPr>
                <w:b/>
              </w:rPr>
              <w:t>(</w:t>
            </w:r>
            <w:r w:rsidR="00C17162"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1F90D667" w:rsidR="002940F3" w:rsidRDefault="2B636A04">
            <w:pPr>
              <w:pStyle w:val="TableRow"/>
            </w:pPr>
            <w:r>
              <w:t>202</w:t>
            </w:r>
            <w:r w:rsidR="00680DF4">
              <w:t>4</w:t>
            </w:r>
            <w:r>
              <w:t>/202</w:t>
            </w:r>
            <w:r w:rsidR="00680DF4">
              <w:t>7</w:t>
            </w:r>
          </w:p>
        </w:tc>
      </w:tr>
      <w:tr w:rsidR="002940F3" w14:paraId="2A7D54C3" w14:textId="77777777" w:rsidTr="4CADF27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07090ABD" w:rsidR="002940F3" w:rsidRDefault="7F6E15DC">
            <w:pPr>
              <w:pStyle w:val="TableRow"/>
            </w:pPr>
            <w:r>
              <w:t>18.12.2</w:t>
            </w:r>
            <w:r w:rsidR="00680DF4">
              <w:t>4</w:t>
            </w:r>
          </w:p>
        </w:tc>
      </w:tr>
      <w:tr w:rsidR="002940F3" w14:paraId="2A7D54C6" w14:textId="77777777" w:rsidTr="4CADF27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923C810" w:rsidR="002940F3" w:rsidRDefault="75B8594E" w:rsidP="4CADF275">
            <w:pPr>
              <w:pStyle w:val="TableRow"/>
              <w:rPr>
                <w:color w:val="000000" w:themeColor="text1"/>
              </w:rPr>
            </w:pPr>
            <w:r w:rsidRPr="4CADF275">
              <w:rPr>
                <w:color w:val="000000" w:themeColor="text1"/>
              </w:rPr>
              <w:t>Yearly</w:t>
            </w:r>
          </w:p>
        </w:tc>
      </w:tr>
      <w:tr w:rsidR="002940F3" w14:paraId="2A7D54C9" w14:textId="77777777" w:rsidTr="4CADF27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777769A5" w:rsidR="002940F3" w:rsidRDefault="2DFE5BB7">
            <w:pPr>
              <w:pStyle w:val="TableRow"/>
            </w:pPr>
            <w:r>
              <w:t>Bernadette Quirke</w:t>
            </w:r>
          </w:p>
        </w:tc>
      </w:tr>
      <w:tr w:rsidR="002940F3" w14:paraId="2A7D54CC" w14:textId="77777777" w:rsidTr="4CADF27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0CCEACB2" w:rsidR="002940F3" w:rsidRDefault="44B63F47">
            <w:pPr>
              <w:pStyle w:val="TableRow"/>
            </w:pPr>
            <w:r>
              <w:t>Sarah Rudd</w:t>
            </w:r>
          </w:p>
        </w:tc>
      </w:tr>
      <w:tr w:rsidR="002940F3" w14:paraId="2A7D54CF" w14:textId="77777777" w:rsidTr="4CADF27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500D001D" w:rsidR="002940F3" w:rsidRDefault="7A2CA68A">
            <w:pPr>
              <w:pStyle w:val="TableRow"/>
            </w:pPr>
            <w:r>
              <w:t>Samantha Buller</w:t>
            </w:r>
          </w:p>
        </w:tc>
      </w:tr>
      <w:bookmarkEnd w:id="2"/>
      <w:bookmarkEnd w:id="3"/>
      <w:bookmarkEnd w:id="4"/>
    </w:tbl>
    <w:p w14:paraId="7D6F2A28" w14:textId="2A61F0DA" w:rsidR="4CADF275" w:rsidRDefault="4CADF275" w:rsidP="4CADF275"/>
    <w:tbl>
      <w:tblPr>
        <w:tblW w:w="0" w:type="auto"/>
        <w:tblLayout w:type="fixed"/>
        <w:tblLook w:val="04A0" w:firstRow="1" w:lastRow="0" w:firstColumn="1" w:lastColumn="0" w:noHBand="0" w:noVBand="1"/>
      </w:tblPr>
      <w:tblGrid>
        <w:gridCol w:w="3165"/>
        <w:gridCol w:w="3165"/>
        <w:gridCol w:w="3165"/>
      </w:tblGrid>
      <w:tr w:rsidR="4CADF275" w14:paraId="77322103" w14:textId="77777777" w:rsidTr="4CADF275">
        <w:trPr>
          <w:trHeight w:val="300"/>
        </w:trPr>
        <w:tc>
          <w:tcPr>
            <w:tcW w:w="9495" w:type="dxa"/>
            <w:gridSpan w:val="3"/>
            <w:tcBorders>
              <w:top w:val="single" w:sz="8" w:space="0" w:color="12263F"/>
              <w:left w:val="single" w:sz="8" w:space="0" w:color="12263F"/>
              <w:bottom w:val="single" w:sz="8" w:space="0" w:color="12263F"/>
              <w:right w:val="single" w:sz="8" w:space="0" w:color="12263F"/>
            </w:tcBorders>
            <w:shd w:val="clear" w:color="auto" w:fill="215732"/>
            <w:tcMar>
              <w:top w:w="113" w:type="dxa"/>
              <w:left w:w="108" w:type="dxa"/>
              <w:bottom w:w="113" w:type="dxa"/>
              <w:right w:w="108" w:type="dxa"/>
            </w:tcMar>
          </w:tcPr>
          <w:p w14:paraId="7E10409D" w14:textId="19661F27" w:rsidR="4CADF275" w:rsidRPr="00CB327E" w:rsidRDefault="4CADF275" w:rsidP="4CADF275">
            <w:pPr>
              <w:pStyle w:val="NoSpacing"/>
              <w:jc w:val="center"/>
              <w:rPr>
                <w:rFonts w:cs="Arial"/>
              </w:rPr>
            </w:pPr>
            <w:r w:rsidRPr="00CB327E">
              <w:rPr>
                <w:rFonts w:eastAsia="Lato Light" w:cs="Arial"/>
                <w:color w:val="FFFFFF" w:themeColor="background1"/>
                <w:sz w:val="28"/>
                <w:szCs w:val="28"/>
              </w:rPr>
              <w:t>PUPIL PREMIUM COHORT INFORMATION</w:t>
            </w:r>
          </w:p>
        </w:tc>
      </w:tr>
      <w:tr w:rsidR="4CADF275" w14:paraId="1CCD8EDD" w14:textId="77777777" w:rsidTr="4CADF275">
        <w:trPr>
          <w:trHeight w:val="195"/>
        </w:trPr>
        <w:tc>
          <w:tcPr>
            <w:tcW w:w="3165" w:type="dxa"/>
            <w:tcBorders>
              <w:top w:val="single" w:sz="8" w:space="0" w:color="12263F"/>
              <w:left w:val="single" w:sz="8" w:space="0" w:color="B9B9B9"/>
              <w:bottom w:val="single" w:sz="8" w:space="0" w:color="B9B9B9"/>
              <w:right w:val="single" w:sz="8" w:space="0" w:color="B9B9B9"/>
            </w:tcBorders>
            <w:shd w:val="clear" w:color="auto" w:fill="215732"/>
            <w:tcMar>
              <w:top w:w="113" w:type="dxa"/>
              <w:left w:w="108" w:type="dxa"/>
              <w:bottom w:w="113" w:type="dxa"/>
              <w:right w:w="108" w:type="dxa"/>
            </w:tcMar>
          </w:tcPr>
          <w:p w14:paraId="2EA4F1D8" w14:textId="491E964B" w:rsidR="4CADF275" w:rsidRPr="00CB327E" w:rsidRDefault="4CADF275" w:rsidP="4CADF275">
            <w:pPr>
              <w:pStyle w:val="NoSpacing"/>
              <w:rPr>
                <w:rFonts w:cs="Arial"/>
              </w:rPr>
            </w:pPr>
            <w:r w:rsidRPr="00CB327E">
              <w:rPr>
                <w:rFonts w:eastAsia="Lato Light" w:cs="Arial"/>
                <w:color w:val="FFFFFF" w:themeColor="background1"/>
                <w:sz w:val="24"/>
                <w:szCs w:val="24"/>
              </w:rPr>
              <w:t>CHARACTERISTIC*</w:t>
            </w:r>
          </w:p>
        </w:tc>
        <w:tc>
          <w:tcPr>
            <w:tcW w:w="3165" w:type="dxa"/>
            <w:tcBorders>
              <w:top w:val="nil"/>
              <w:left w:val="single" w:sz="8" w:space="0" w:color="B9B9B9"/>
              <w:bottom w:val="single" w:sz="8" w:space="0" w:color="B9B9B9"/>
              <w:right w:val="single" w:sz="8" w:space="0" w:color="B9B9B9"/>
            </w:tcBorders>
            <w:shd w:val="clear" w:color="auto" w:fill="215732"/>
            <w:tcMar>
              <w:top w:w="113" w:type="dxa"/>
              <w:left w:w="108" w:type="dxa"/>
              <w:bottom w:w="113" w:type="dxa"/>
              <w:right w:w="108" w:type="dxa"/>
            </w:tcMar>
          </w:tcPr>
          <w:p w14:paraId="39FD27ED" w14:textId="2BCAAC4F" w:rsidR="4CADF275" w:rsidRPr="00CB327E" w:rsidRDefault="4CADF275" w:rsidP="4CADF275">
            <w:pPr>
              <w:pStyle w:val="NoSpacing"/>
              <w:rPr>
                <w:rFonts w:cs="Arial"/>
              </w:rPr>
            </w:pPr>
            <w:r w:rsidRPr="00CB327E">
              <w:rPr>
                <w:rFonts w:eastAsia="Lato Light" w:cs="Arial"/>
                <w:color w:val="FFFFFF" w:themeColor="background1"/>
                <w:sz w:val="24"/>
                <w:szCs w:val="24"/>
              </w:rPr>
              <w:t>NUMBER IN GROUP</w:t>
            </w:r>
          </w:p>
        </w:tc>
        <w:tc>
          <w:tcPr>
            <w:tcW w:w="3165" w:type="dxa"/>
            <w:tcBorders>
              <w:top w:val="nil"/>
              <w:left w:val="single" w:sz="8" w:space="0" w:color="B9B9B9"/>
              <w:bottom w:val="single" w:sz="8" w:space="0" w:color="B9B9B9"/>
              <w:right w:val="single" w:sz="8" w:space="0" w:color="B9B9B9"/>
            </w:tcBorders>
            <w:shd w:val="clear" w:color="auto" w:fill="215732"/>
            <w:tcMar>
              <w:top w:w="113" w:type="dxa"/>
              <w:left w:w="108" w:type="dxa"/>
              <w:bottom w:w="113" w:type="dxa"/>
              <w:right w:w="108" w:type="dxa"/>
            </w:tcMar>
          </w:tcPr>
          <w:p w14:paraId="12268375" w14:textId="6E700C00" w:rsidR="4CADF275" w:rsidRPr="00CB327E" w:rsidRDefault="4CADF275" w:rsidP="4CADF275">
            <w:pPr>
              <w:pStyle w:val="NoSpacing"/>
              <w:rPr>
                <w:rFonts w:cs="Arial"/>
              </w:rPr>
            </w:pPr>
            <w:r w:rsidRPr="00CB327E">
              <w:rPr>
                <w:rFonts w:eastAsia="Lato Light" w:cs="Arial"/>
                <w:color w:val="FFFFFF" w:themeColor="background1"/>
                <w:sz w:val="24"/>
                <w:szCs w:val="24"/>
              </w:rPr>
              <w:t>PERCENTAGE OF GROUP</w:t>
            </w:r>
          </w:p>
        </w:tc>
      </w:tr>
      <w:tr w:rsidR="4CADF275" w14:paraId="6CC8040E" w14:textId="77777777" w:rsidTr="4CADF275">
        <w:trPr>
          <w:trHeight w:val="300"/>
        </w:trPr>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73B025E0" w14:textId="7A47B448" w:rsidR="4CADF275" w:rsidRPr="00CB327E" w:rsidRDefault="4CADF275" w:rsidP="4CADF275">
            <w:pPr>
              <w:pStyle w:val="NoSpacing"/>
              <w:rPr>
                <w:rFonts w:cs="Arial"/>
              </w:rPr>
            </w:pPr>
            <w:r w:rsidRPr="00CB327E">
              <w:rPr>
                <w:rFonts w:eastAsia="Lato Light" w:cs="Arial"/>
                <w:sz w:val="22"/>
                <w:szCs w:val="22"/>
              </w:rPr>
              <w:t>Boys</w:t>
            </w:r>
          </w:p>
        </w:tc>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6A0E344C" w14:textId="6BA6B324" w:rsidR="4CADF275" w:rsidRPr="00CB327E" w:rsidRDefault="4CADF275" w:rsidP="4CADF275">
            <w:pPr>
              <w:pStyle w:val="NoSpacing"/>
              <w:rPr>
                <w:rFonts w:cs="Arial"/>
              </w:rPr>
            </w:pPr>
            <w:r w:rsidRPr="00CB327E">
              <w:rPr>
                <w:rFonts w:eastAsia="Calibri" w:cs="Arial"/>
                <w:sz w:val="22"/>
                <w:szCs w:val="22"/>
              </w:rPr>
              <w:t>1</w:t>
            </w:r>
            <w:r w:rsidR="00B37F73">
              <w:rPr>
                <w:rFonts w:eastAsia="Calibri" w:cs="Arial"/>
                <w:sz w:val="22"/>
                <w:szCs w:val="22"/>
              </w:rPr>
              <w:t>6</w:t>
            </w:r>
          </w:p>
        </w:tc>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42FCEDEA" w14:textId="7FACA328" w:rsidR="4CADF275" w:rsidRPr="00CB327E" w:rsidRDefault="002F157D" w:rsidP="4CADF275">
            <w:pPr>
              <w:pStyle w:val="NoSpacing"/>
              <w:rPr>
                <w:rFonts w:cs="Arial"/>
              </w:rPr>
            </w:pPr>
            <w:r>
              <w:rPr>
                <w:rFonts w:eastAsia="Calibri" w:cs="Arial"/>
                <w:sz w:val="22"/>
                <w:szCs w:val="22"/>
              </w:rPr>
              <w:t>37%</w:t>
            </w:r>
          </w:p>
        </w:tc>
      </w:tr>
      <w:tr w:rsidR="4CADF275" w14:paraId="62837625" w14:textId="77777777" w:rsidTr="4CADF275">
        <w:trPr>
          <w:trHeight w:val="300"/>
        </w:trPr>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2E52DFA5" w14:textId="13BF4273" w:rsidR="4CADF275" w:rsidRPr="00CB327E" w:rsidRDefault="4CADF275" w:rsidP="4CADF275">
            <w:pPr>
              <w:pStyle w:val="NoSpacing"/>
              <w:rPr>
                <w:rFonts w:cs="Arial"/>
              </w:rPr>
            </w:pPr>
            <w:r w:rsidRPr="00CB327E">
              <w:rPr>
                <w:rFonts w:eastAsia="Lato Light" w:cs="Arial"/>
                <w:sz w:val="22"/>
                <w:szCs w:val="22"/>
              </w:rPr>
              <w:t>Girls</w:t>
            </w:r>
          </w:p>
        </w:tc>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6F5B461E" w14:textId="5A84C6A2" w:rsidR="4CADF275" w:rsidRPr="00CB327E" w:rsidRDefault="4CADF275" w:rsidP="4CADF275">
            <w:pPr>
              <w:pStyle w:val="NoSpacing"/>
              <w:rPr>
                <w:rFonts w:cs="Arial"/>
              </w:rPr>
            </w:pPr>
            <w:r w:rsidRPr="00CB327E">
              <w:rPr>
                <w:rFonts w:eastAsia="Calibri" w:cs="Arial"/>
                <w:sz w:val="22"/>
                <w:szCs w:val="22"/>
              </w:rPr>
              <w:t>2</w:t>
            </w:r>
            <w:r w:rsidR="002F157D">
              <w:rPr>
                <w:rFonts w:eastAsia="Calibri" w:cs="Arial"/>
                <w:sz w:val="22"/>
                <w:szCs w:val="22"/>
              </w:rPr>
              <w:t>7</w:t>
            </w:r>
          </w:p>
        </w:tc>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179C3194" w14:textId="116CED38" w:rsidR="4CADF275" w:rsidRPr="00CB327E" w:rsidRDefault="002F157D" w:rsidP="4CADF275">
            <w:pPr>
              <w:pStyle w:val="NoSpacing"/>
              <w:rPr>
                <w:rFonts w:cs="Arial"/>
              </w:rPr>
            </w:pPr>
            <w:r>
              <w:rPr>
                <w:rFonts w:eastAsia="Calibri" w:cs="Arial"/>
                <w:sz w:val="22"/>
                <w:szCs w:val="22"/>
              </w:rPr>
              <w:t>62%</w:t>
            </w:r>
          </w:p>
        </w:tc>
      </w:tr>
      <w:tr w:rsidR="4CADF275" w14:paraId="4BB7E48C" w14:textId="77777777" w:rsidTr="4CADF275">
        <w:trPr>
          <w:trHeight w:val="300"/>
        </w:trPr>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434397E3" w14:textId="2372259A" w:rsidR="4CADF275" w:rsidRPr="00CB327E" w:rsidRDefault="4CADF275" w:rsidP="4CADF275">
            <w:pPr>
              <w:pStyle w:val="NoSpacing"/>
              <w:rPr>
                <w:rFonts w:cs="Arial"/>
              </w:rPr>
            </w:pPr>
            <w:r w:rsidRPr="00CB327E">
              <w:rPr>
                <w:rFonts w:eastAsia="Lato Light" w:cs="Arial"/>
                <w:sz w:val="22"/>
                <w:szCs w:val="22"/>
              </w:rPr>
              <w:t>SEN support</w:t>
            </w:r>
          </w:p>
        </w:tc>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7F3B65D5" w14:textId="137EF279" w:rsidR="4CADF275" w:rsidRPr="00CB327E" w:rsidRDefault="002F157D" w:rsidP="4CADF275">
            <w:pPr>
              <w:pStyle w:val="NoSpacing"/>
              <w:rPr>
                <w:rFonts w:cs="Arial"/>
              </w:rPr>
            </w:pPr>
            <w:r>
              <w:rPr>
                <w:rFonts w:eastAsia="Calibri" w:cs="Arial"/>
                <w:sz w:val="22"/>
                <w:szCs w:val="22"/>
              </w:rPr>
              <w:t>1</w:t>
            </w:r>
            <w:r w:rsidR="4CADF275" w:rsidRPr="00CB327E">
              <w:rPr>
                <w:rFonts w:eastAsia="Calibri" w:cs="Arial"/>
                <w:sz w:val="22"/>
                <w:szCs w:val="22"/>
              </w:rPr>
              <w:t>4</w:t>
            </w:r>
          </w:p>
        </w:tc>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527867EC" w14:textId="0E42FC25" w:rsidR="4CADF275" w:rsidRPr="00CB327E" w:rsidRDefault="002F157D" w:rsidP="4CADF275">
            <w:pPr>
              <w:pStyle w:val="NoSpacing"/>
              <w:rPr>
                <w:rFonts w:cs="Arial"/>
              </w:rPr>
            </w:pPr>
            <w:r>
              <w:rPr>
                <w:rFonts w:eastAsia="Calibri" w:cs="Arial"/>
                <w:sz w:val="22"/>
                <w:szCs w:val="22"/>
              </w:rPr>
              <w:t>36</w:t>
            </w:r>
            <w:r w:rsidR="4CADF275" w:rsidRPr="00CB327E">
              <w:rPr>
                <w:rFonts w:eastAsia="Calibri" w:cs="Arial"/>
                <w:sz w:val="22"/>
                <w:szCs w:val="22"/>
              </w:rPr>
              <w:t>%</w:t>
            </w:r>
          </w:p>
        </w:tc>
      </w:tr>
      <w:tr w:rsidR="4CADF275" w14:paraId="005E0653" w14:textId="77777777" w:rsidTr="4CADF275">
        <w:trPr>
          <w:trHeight w:val="300"/>
        </w:trPr>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12A5B45F" w14:textId="33D2457B" w:rsidR="4CADF275" w:rsidRPr="00CB327E" w:rsidRDefault="4CADF275" w:rsidP="4CADF275">
            <w:pPr>
              <w:pStyle w:val="NoSpacing"/>
              <w:rPr>
                <w:rFonts w:cs="Arial"/>
              </w:rPr>
            </w:pPr>
            <w:r w:rsidRPr="00CB327E">
              <w:rPr>
                <w:rFonts w:eastAsia="Lato Light" w:cs="Arial"/>
                <w:sz w:val="22"/>
                <w:szCs w:val="22"/>
              </w:rPr>
              <w:t>EHC plan</w:t>
            </w:r>
          </w:p>
        </w:tc>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14F2AC41" w14:textId="12F5CB2B" w:rsidR="4CADF275" w:rsidRPr="00CB327E" w:rsidRDefault="4CADF275" w:rsidP="4CADF275">
            <w:pPr>
              <w:pStyle w:val="NoSpacing"/>
              <w:rPr>
                <w:rFonts w:cs="Arial"/>
              </w:rPr>
            </w:pPr>
            <w:r w:rsidRPr="00CB327E">
              <w:rPr>
                <w:rFonts w:eastAsia="Calibri" w:cs="Arial"/>
                <w:sz w:val="22"/>
                <w:szCs w:val="22"/>
              </w:rPr>
              <w:t>1</w:t>
            </w:r>
          </w:p>
        </w:tc>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0953B95F" w14:textId="7D4F0B78" w:rsidR="4CADF275" w:rsidRPr="00CB327E" w:rsidRDefault="00925CBF" w:rsidP="4CADF275">
            <w:pPr>
              <w:pStyle w:val="NoSpacing"/>
              <w:rPr>
                <w:rFonts w:cs="Arial"/>
              </w:rPr>
            </w:pPr>
            <w:r>
              <w:rPr>
                <w:rFonts w:eastAsia="Calibri" w:cs="Arial"/>
                <w:sz w:val="22"/>
                <w:szCs w:val="22"/>
              </w:rPr>
              <w:t>2%</w:t>
            </w:r>
          </w:p>
        </w:tc>
      </w:tr>
      <w:tr w:rsidR="4CADF275" w14:paraId="77A95D78" w14:textId="77777777" w:rsidTr="4CADF275">
        <w:trPr>
          <w:trHeight w:val="300"/>
        </w:trPr>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43053803" w14:textId="36E06ACA" w:rsidR="4CADF275" w:rsidRPr="00CB327E" w:rsidRDefault="4CADF275" w:rsidP="4CADF275">
            <w:pPr>
              <w:pStyle w:val="NoSpacing"/>
              <w:rPr>
                <w:rFonts w:cs="Arial"/>
              </w:rPr>
            </w:pPr>
            <w:r w:rsidRPr="00CB327E">
              <w:rPr>
                <w:rFonts w:eastAsia="Lato Light" w:cs="Arial"/>
                <w:sz w:val="22"/>
                <w:szCs w:val="22"/>
              </w:rPr>
              <w:t>EAL</w:t>
            </w:r>
          </w:p>
        </w:tc>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15D2BC26" w14:textId="78A43CB7" w:rsidR="4CADF275" w:rsidRPr="00CB327E" w:rsidRDefault="00A559C2" w:rsidP="4CADF275">
            <w:pPr>
              <w:pStyle w:val="NoSpacing"/>
              <w:rPr>
                <w:rFonts w:cs="Arial"/>
              </w:rPr>
            </w:pPr>
            <w:r>
              <w:rPr>
                <w:rFonts w:eastAsia="Calibri" w:cs="Arial"/>
                <w:sz w:val="22"/>
                <w:szCs w:val="22"/>
              </w:rPr>
              <w:t>2</w:t>
            </w:r>
          </w:p>
        </w:tc>
        <w:tc>
          <w:tcPr>
            <w:tcW w:w="316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5141399F" w14:textId="4DB1B4DC" w:rsidR="4CADF275" w:rsidRPr="00CB327E" w:rsidRDefault="00C17162" w:rsidP="4CADF275">
            <w:pPr>
              <w:pStyle w:val="NoSpacing"/>
              <w:rPr>
                <w:rFonts w:cs="Arial"/>
              </w:rPr>
            </w:pPr>
            <w:r>
              <w:rPr>
                <w:rFonts w:eastAsia="Calibri" w:cs="Arial"/>
                <w:sz w:val="22"/>
                <w:szCs w:val="22"/>
              </w:rPr>
              <w:t>4%</w:t>
            </w:r>
          </w:p>
        </w:tc>
      </w:tr>
    </w:tbl>
    <w:p w14:paraId="242F247B" w14:textId="33774276" w:rsidR="4CADF275" w:rsidRDefault="4CADF275" w:rsidP="4CADF275"/>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4CADF27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4CADF27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1084E334" w:rsidR="00E66558" w:rsidRDefault="009D71E8">
            <w:pPr>
              <w:pStyle w:val="TableRow"/>
            </w:pPr>
            <w:r>
              <w:t>£</w:t>
            </w:r>
            <w:r w:rsidR="00DC5392">
              <w:t xml:space="preserve"> </w:t>
            </w:r>
            <w:r w:rsidR="00F756F9">
              <w:t>55,460</w:t>
            </w:r>
          </w:p>
        </w:tc>
      </w:tr>
      <w:tr w:rsidR="00E66558" w14:paraId="2A7D54DC" w14:textId="77777777" w:rsidTr="4CADF27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C9B95" w14:textId="77777777" w:rsidR="00E66558" w:rsidRDefault="009D71E8">
            <w:pPr>
              <w:pStyle w:val="TableRow"/>
            </w:pPr>
            <w:r>
              <w:lastRenderedPageBreak/>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61B9D85D" w:rsidR="00E66558" w:rsidRDefault="009D71E8">
            <w:pPr>
              <w:pStyle w:val="TableRow"/>
            </w:pPr>
            <w:r>
              <w:t>£</w:t>
            </w:r>
            <w:r w:rsidR="54C80030">
              <w:t>0</w:t>
            </w:r>
          </w:p>
        </w:tc>
      </w:tr>
      <w:tr w:rsidR="00E66558" w14:paraId="2A7D54DF" w14:textId="77777777" w:rsidTr="4CADF27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00575164" w:rsidR="00E66558" w:rsidRDefault="009D71E8">
            <w:pPr>
              <w:pStyle w:val="TableRow"/>
            </w:pPr>
            <w:r>
              <w:t>£</w:t>
            </w:r>
            <w:r w:rsidR="7689DB37">
              <w:t>0</w:t>
            </w:r>
          </w:p>
        </w:tc>
      </w:tr>
      <w:tr w:rsidR="00E66558" w14:paraId="2A7D54E3" w14:textId="77777777" w:rsidTr="4CADF27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37A5D504" w:rsidR="00E66558" w:rsidRPr="003C4388" w:rsidRDefault="00E66558">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C6AFC6F" w:rsidR="00E66558" w:rsidRDefault="009D71E8">
            <w:pPr>
              <w:pStyle w:val="TableRow"/>
            </w:pPr>
            <w:r>
              <w:t>£</w:t>
            </w:r>
            <w:r w:rsidR="00DC5392">
              <w:t xml:space="preserve"> </w:t>
            </w:r>
          </w:p>
        </w:tc>
      </w:tr>
    </w:tbl>
    <w:p w14:paraId="2A7D54E4" w14:textId="77777777" w:rsidR="00E66558" w:rsidRDefault="009D71E8">
      <w:pPr>
        <w:pStyle w:val="Heading1"/>
      </w:pPr>
      <w:r>
        <w:lastRenderedPageBreak/>
        <w:t>Part A: Pupil premium strategy plan</w:t>
      </w:r>
    </w:p>
    <w:p w14:paraId="2A7D54E5" w14:textId="79C27C38"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59CF2" w14:textId="77777777" w:rsidR="007E176A" w:rsidRPr="0043511B" w:rsidRDefault="0057184D" w:rsidP="007E176A">
            <w:pPr>
              <w:rPr>
                <w:rFonts w:cs="Arial"/>
                <w:color w:val="000000"/>
              </w:rPr>
            </w:pPr>
            <w:r w:rsidRPr="0043511B">
              <w:rPr>
                <w:rFonts w:cs="Arial"/>
                <w:color w:val="000000"/>
              </w:rPr>
              <w:t xml:space="preserve">St. Mary’s CVA Pupil Premium Strategy Plan is based on ensuring all children are provided with the best possible education so that they can achieve their full potential. All staff and governors are committed to the importance of the Pupil Premium agenda and strategic plan and will ensure that no pupils are disadvantaged because they are ‘disadvantaged’. Our focus is upon the whole child and the expectation that all pupils make clear progress and attainment within their education. </w:t>
            </w:r>
          </w:p>
          <w:p w14:paraId="2A7D54E9" w14:textId="0BA823E4" w:rsidR="00E66558" w:rsidRPr="007E176A" w:rsidRDefault="0057184D" w:rsidP="007E176A">
            <w:pPr>
              <w:rPr>
                <w:rFonts w:ascii="Lato Light" w:hAnsi="Lato Light"/>
                <w:color w:val="000000"/>
              </w:rPr>
            </w:pPr>
            <w:r w:rsidRPr="0043511B">
              <w:rPr>
                <w:rFonts w:cs="Arial"/>
              </w:rPr>
              <w:t>To achieve this aim, we will ensure the provision of Quality</w:t>
            </w:r>
            <w:r w:rsidRPr="0043511B">
              <w:rPr>
                <w:rFonts w:cs="Arial"/>
                <w:color w:val="000000"/>
              </w:rPr>
              <w:t xml:space="preserve"> first teaching in all classes, address barriers to learning, and ensure that interventions are put in place for when progress is not at the expected standard. The school will also work hard with parents and carers to ensure that they fully engage in the education of their child.</w:t>
            </w:r>
          </w:p>
        </w:tc>
      </w:tr>
    </w:tbl>
    <w:p w14:paraId="2A7D54EB" w14:textId="77777777" w:rsidR="00E66558" w:rsidRDefault="009D71E8">
      <w:pPr>
        <w:pStyle w:val="Heading2"/>
        <w:spacing w:before="600"/>
      </w:pPr>
      <w:r>
        <w:t>Challenges</w:t>
      </w:r>
    </w:p>
    <w:p w14:paraId="2A7D54EC" w14:textId="648823B8"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r w:rsidR="00DC5392">
        <w:t xml:space="preserve"> </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0C563D"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0C563D" w:rsidRDefault="000C563D" w:rsidP="000C563D">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20EC941A" w:rsidR="000C563D" w:rsidRPr="0043511B" w:rsidRDefault="009C7108" w:rsidP="000C563D">
            <w:pPr>
              <w:pStyle w:val="TableRowCentered"/>
              <w:jc w:val="left"/>
              <w:rPr>
                <w:rFonts w:cs="Arial"/>
              </w:rPr>
            </w:pPr>
            <w:r w:rsidRPr="0043511B">
              <w:rPr>
                <w:rFonts w:cs="Arial"/>
                <w:szCs w:val="24"/>
              </w:rPr>
              <w:t>Assessments, observations, and discussions with pupils indicate underdeveloped oral language skills and vocabulary gaps among many disadvantaged pupils, from Reception through to KS2. This is more prevalent among our disadvantaged pupils than their peers.</w:t>
            </w:r>
          </w:p>
        </w:tc>
      </w:tr>
      <w:tr w:rsidR="00EB5867"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B5867" w:rsidRDefault="00EB5867" w:rsidP="00EB5867">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6133184C" w:rsidR="00EB5867" w:rsidRPr="0043511B" w:rsidRDefault="00406291" w:rsidP="00EB5867">
            <w:pPr>
              <w:pStyle w:val="TableRowCentered"/>
              <w:jc w:val="left"/>
              <w:rPr>
                <w:rFonts w:cs="Arial"/>
                <w:sz w:val="22"/>
                <w:szCs w:val="22"/>
              </w:rPr>
            </w:pPr>
            <w:r w:rsidRPr="0043511B">
              <w:rPr>
                <w:rFonts w:cs="Arial"/>
                <w:szCs w:val="24"/>
              </w:rPr>
              <w:t xml:space="preserve">Assessments and observations show that </w:t>
            </w:r>
            <w:r w:rsidR="001B6EB6" w:rsidRPr="0043511B">
              <w:rPr>
                <w:rFonts w:cs="Arial"/>
                <w:szCs w:val="24"/>
              </w:rPr>
              <w:t xml:space="preserve">a </w:t>
            </w:r>
            <w:r w:rsidR="00EB5867" w:rsidRPr="0043511B">
              <w:rPr>
                <w:rFonts w:cs="Arial"/>
                <w:szCs w:val="24"/>
              </w:rPr>
              <w:t>number of P</w:t>
            </w:r>
            <w:r w:rsidR="001B6EB6" w:rsidRPr="0043511B">
              <w:rPr>
                <w:rFonts w:cs="Arial"/>
                <w:szCs w:val="24"/>
              </w:rPr>
              <w:t xml:space="preserve">upil </w:t>
            </w:r>
            <w:r w:rsidR="00EB5867" w:rsidRPr="0043511B">
              <w:rPr>
                <w:rFonts w:cs="Arial"/>
                <w:szCs w:val="24"/>
              </w:rPr>
              <w:t>P</w:t>
            </w:r>
            <w:r w:rsidR="001B6EB6" w:rsidRPr="0043511B">
              <w:rPr>
                <w:rFonts w:cs="Arial"/>
                <w:szCs w:val="24"/>
              </w:rPr>
              <w:t>remium</w:t>
            </w:r>
            <w:r w:rsidR="00EB5867" w:rsidRPr="0043511B">
              <w:rPr>
                <w:rFonts w:cs="Arial"/>
                <w:szCs w:val="24"/>
              </w:rPr>
              <w:t xml:space="preserve"> pupils also have additional S</w:t>
            </w:r>
            <w:r w:rsidR="00362C50" w:rsidRPr="0043511B">
              <w:rPr>
                <w:rFonts w:cs="Arial"/>
                <w:szCs w:val="24"/>
              </w:rPr>
              <w:t>pecial Educational needs</w:t>
            </w:r>
            <w:r w:rsidR="00EB5867" w:rsidRPr="0043511B">
              <w:rPr>
                <w:rFonts w:cs="Arial"/>
                <w:szCs w:val="24"/>
              </w:rPr>
              <w:t xml:space="preserve"> that create barriers to learning</w:t>
            </w:r>
            <w:r w:rsidR="00F7503F" w:rsidRPr="0043511B">
              <w:rPr>
                <w:rFonts w:cs="Arial"/>
                <w:szCs w:val="24"/>
              </w:rPr>
              <w:t>, especially in English and Maths</w:t>
            </w:r>
            <w:r w:rsidR="0005141A">
              <w:rPr>
                <w:rFonts w:cs="Arial"/>
                <w:szCs w:val="24"/>
              </w:rPr>
              <w:t>.</w:t>
            </w:r>
          </w:p>
        </w:tc>
      </w:tr>
      <w:tr w:rsidR="00EB5867"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B5867" w:rsidRDefault="00EB5867" w:rsidP="00EB5867">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64DF1" w14:textId="77777777" w:rsidR="00EB5867" w:rsidRPr="0043511B" w:rsidRDefault="009C7108" w:rsidP="00EB5867">
            <w:pPr>
              <w:pStyle w:val="TableRowCentered"/>
              <w:jc w:val="left"/>
              <w:rPr>
                <w:rFonts w:cs="Arial"/>
                <w:szCs w:val="24"/>
              </w:rPr>
            </w:pPr>
            <w:r w:rsidRPr="0043511B">
              <w:rPr>
                <w:rFonts w:cs="Arial"/>
                <w:szCs w:val="24"/>
              </w:rPr>
              <w:t xml:space="preserve">Our assessment, observations and discussions with pupils and families have identified social and emotional issues for many pupils, notably due to access to </w:t>
            </w:r>
            <w:r w:rsidR="00BE3FDA" w:rsidRPr="0043511B">
              <w:rPr>
                <w:rFonts w:cs="Arial"/>
                <w:szCs w:val="24"/>
              </w:rPr>
              <w:t>enriched curriculum opportunities</w:t>
            </w:r>
            <w:r w:rsidRPr="0043511B">
              <w:rPr>
                <w:rFonts w:cs="Arial"/>
                <w:szCs w:val="24"/>
              </w:rPr>
              <w:t>, and lack of mental health support for families</w:t>
            </w:r>
            <w:r w:rsidR="00B91A9B" w:rsidRPr="0043511B">
              <w:rPr>
                <w:rFonts w:cs="Arial"/>
                <w:szCs w:val="24"/>
              </w:rPr>
              <w:t>.</w:t>
            </w:r>
          </w:p>
          <w:p w14:paraId="2A7D54F7" w14:textId="6828368C" w:rsidR="00B91A9B" w:rsidRPr="0043511B" w:rsidRDefault="00B91A9B" w:rsidP="00B91A9B">
            <w:pPr>
              <w:pStyle w:val="TableRowCentered"/>
              <w:ind w:left="0"/>
              <w:jc w:val="left"/>
              <w:rPr>
                <w:rFonts w:cs="Arial"/>
                <w:sz w:val="22"/>
                <w:szCs w:val="22"/>
              </w:rPr>
            </w:pPr>
            <w:r w:rsidRPr="0043511B">
              <w:rPr>
                <w:rFonts w:cs="Arial"/>
                <w:szCs w:val="22"/>
              </w:rPr>
              <w:t xml:space="preserve"> Referrals to the Student and Family support worker, and external     agencies is increasing. </w:t>
            </w:r>
            <w:r w:rsidR="00831E32">
              <w:rPr>
                <w:rFonts w:cs="Arial"/>
                <w:szCs w:val="22"/>
              </w:rPr>
              <w:t>2</w:t>
            </w:r>
            <w:r w:rsidR="0001196C">
              <w:rPr>
                <w:rFonts w:cs="Arial"/>
                <w:szCs w:val="22"/>
              </w:rPr>
              <w:t>8</w:t>
            </w:r>
            <w:r w:rsidR="00831E32">
              <w:rPr>
                <w:rFonts w:cs="Arial"/>
                <w:szCs w:val="22"/>
              </w:rPr>
              <w:t xml:space="preserve"> </w:t>
            </w:r>
            <w:r w:rsidRPr="0043511B">
              <w:rPr>
                <w:rFonts w:cs="Arial"/>
                <w:szCs w:val="22"/>
              </w:rPr>
              <w:t>pupils (</w:t>
            </w:r>
            <w:r w:rsidR="0001196C">
              <w:rPr>
                <w:rFonts w:cs="Arial"/>
                <w:szCs w:val="22"/>
              </w:rPr>
              <w:t>20</w:t>
            </w:r>
            <w:r w:rsidRPr="0043511B">
              <w:rPr>
                <w:rFonts w:cs="Arial"/>
                <w:szCs w:val="22"/>
              </w:rPr>
              <w:t xml:space="preserve"> of whom are disadvantaged) currently require additional support with social and emotional needs, receiving small group interventions and 1:1 </w:t>
            </w:r>
            <w:r w:rsidR="00362C50" w:rsidRPr="0043511B">
              <w:rPr>
                <w:rFonts w:cs="Arial"/>
                <w:szCs w:val="22"/>
              </w:rPr>
              <w:t>sessions.</w:t>
            </w:r>
          </w:p>
        </w:tc>
      </w:tr>
      <w:tr w:rsidR="00EB5867"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B5867" w:rsidRDefault="00EB5867" w:rsidP="00EB5867">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7E287" w14:textId="13EC2511" w:rsidR="00EB5867" w:rsidRPr="0043511B" w:rsidRDefault="006C0EA2" w:rsidP="00EB5867">
            <w:pPr>
              <w:pStyle w:val="TableRowCentered"/>
              <w:jc w:val="left"/>
              <w:rPr>
                <w:rFonts w:cs="Arial"/>
                <w:szCs w:val="24"/>
              </w:rPr>
            </w:pPr>
            <w:r w:rsidRPr="0043511B">
              <w:rPr>
                <w:rFonts w:cs="Arial"/>
                <w:szCs w:val="24"/>
              </w:rPr>
              <w:t>Ou</w:t>
            </w:r>
            <w:r w:rsidR="009C7108" w:rsidRPr="0043511B">
              <w:rPr>
                <w:rFonts w:cs="Arial"/>
                <w:szCs w:val="24"/>
              </w:rPr>
              <w:t>r</w:t>
            </w:r>
            <w:r w:rsidRPr="0043511B">
              <w:rPr>
                <w:rFonts w:cs="Arial"/>
                <w:szCs w:val="24"/>
              </w:rPr>
              <w:t xml:space="preserve"> attendance data over the last three years indicates that attendance among disadvantaged pupils has been </w:t>
            </w:r>
            <w:r w:rsidR="00C571CB">
              <w:rPr>
                <w:rFonts w:cs="Arial"/>
                <w:szCs w:val="24"/>
              </w:rPr>
              <w:t>consistently 4</w:t>
            </w:r>
            <w:r w:rsidRPr="0043511B">
              <w:rPr>
                <w:rFonts w:cs="Arial"/>
                <w:szCs w:val="24"/>
              </w:rPr>
              <w:t>%</w:t>
            </w:r>
            <w:r w:rsidR="00EB6496">
              <w:rPr>
                <w:rFonts w:cs="Arial"/>
                <w:szCs w:val="24"/>
              </w:rPr>
              <w:t>-5%</w:t>
            </w:r>
            <w:r w:rsidRPr="0043511B">
              <w:rPr>
                <w:rFonts w:cs="Arial"/>
                <w:szCs w:val="24"/>
              </w:rPr>
              <w:t xml:space="preserve"> lower than for </w:t>
            </w:r>
            <w:r w:rsidR="006028BE">
              <w:rPr>
                <w:rFonts w:cs="Arial"/>
                <w:szCs w:val="24"/>
              </w:rPr>
              <w:t>non-</w:t>
            </w:r>
            <w:r w:rsidR="006028BE" w:rsidRPr="0043511B">
              <w:rPr>
                <w:rFonts w:cs="Arial"/>
                <w:szCs w:val="24"/>
              </w:rPr>
              <w:t>disadvantaged</w:t>
            </w:r>
            <w:r w:rsidRPr="0043511B">
              <w:rPr>
                <w:rFonts w:cs="Arial"/>
                <w:szCs w:val="24"/>
              </w:rPr>
              <w:t xml:space="preserve"> pupils.</w:t>
            </w:r>
          </w:p>
          <w:p w14:paraId="2A7D54FA" w14:textId="00161FC2" w:rsidR="006C0EA2" w:rsidRPr="0043511B" w:rsidRDefault="007065C7" w:rsidP="00EB5867">
            <w:pPr>
              <w:pStyle w:val="TableRowCentered"/>
              <w:jc w:val="left"/>
              <w:rPr>
                <w:rFonts w:cs="Arial"/>
                <w:iCs/>
                <w:sz w:val="22"/>
              </w:rPr>
            </w:pPr>
            <w:r>
              <w:rPr>
                <w:rFonts w:cs="Arial"/>
                <w:iCs/>
              </w:rPr>
              <w:t>Last academic year</w:t>
            </w:r>
            <w:r w:rsidR="00763C6A">
              <w:rPr>
                <w:rFonts w:cs="Arial"/>
                <w:iCs/>
              </w:rPr>
              <w:t xml:space="preserve"> 27% </w:t>
            </w:r>
            <w:r w:rsidR="006C0EA2" w:rsidRPr="0043511B">
              <w:rPr>
                <w:rFonts w:cs="Arial"/>
                <w:iCs/>
              </w:rPr>
              <w:t>of disadvantaged pupils have been ‘persistently absent’</w:t>
            </w:r>
            <w:r w:rsidR="00006FB9">
              <w:rPr>
                <w:rFonts w:cs="Arial"/>
                <w:iCs/>
              </w:rPr>
              <w:t xml:space="preserve">. </w:t>
            </w:r>
            <w:r w:rsidR="006C0EA2" w:rsidRPr="0043511B">
              <w:rPr>
                <w:rFonts w:cs="Arial"/>
                <w:iCs/>
              </w:rPr>
              <w:t>Our assessments and observati</w:t>
            </w:r>
            <w:r w:rsidR="009C7108" w:rsidRPr="0043511B">
              <w:rPr>
                <w:rFonts w:cs="Arial"/>
                <w:iCs/>
              </w:rPr>
              <w:t>o</w:t>
            </w:r>
            <w:r w:rsidR="006C0EA2" w:rsidRPr="0043511B">
              <w:rPr>
                <w:rFonts w:cs="Arial"/>
                <w:iCs/>
              </w:rPr>
              <w:t>ns indicate that absenteeism is negatively</w:t>
            </w:r>
            <w:r w:rsidR="009C7108" w:rsidRPr="0043511B">
              <w:rPr>
                <w:rFonts w:cs="Arial"/>
                <w:iCs/>
              </w:rPr>
              <w:t xml:space="preserve"> impacting disadvantaged pupils’ progress.</w:t>
            </w:r>
          </w:p>
        </w:tc>
      </w:tr>
      <w:tr w:rsidR="00EB5867"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B5867" w:rsidRDefault="00EB5867" w:rsidP="00EB5867">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8109B" w14:textId="62B54993" w:rsidR="00362C50" w:rsidRPr="0043511B" w:rsidRDefault="0003238A" w:rsidP="00EB5867">
            <w:pPr>
              <w:pStyle w:val="TableRowCentered"/>
              <w:jc w:val="left"/>
              <w:rPr>
                <w:rFonts w:cs="Arial"/>
                <w:szCs w:val="24"/>
              </w:rPr>
            </w:pPr>
            <w:r w:rsidRPr="0043511B">
              <w:rPr>
                <w:rFonts w:cs="Arial"/>
                <w:szCs w:val="24"/>
              </w:rPr>
              <w:t>O</w:t>
            </w:r>
            <w:r w:rsidR="00FF5252" w:rsidRPr="0043511B">
              <w:rPr>
                <w:rFonts w:cs="Arial"/>
                <w:szCs w:val="24"/>
              </w:rPr>
              <w:t xml:space="preserve">bservations </w:t>
            </w:r>
            <w:r w:rsidRPr="0043511B">
              <w:rPr>
                <w:rFonts w:cs="Arial"/>
                <w:szCs w:val="24"/>
              </w:rPr>
              <w:t xml:space="preserve">and </w:t>
            </w:r>
            <w:r w:rsidR="00DE51ED" w:rsidRPr="0043511B">
              <w:rPr>
                <w:rFonts w:cs="Arial"/>
                <w:szCs w:val="24"/>
              </w:rPr>
              <w:t>dis</w:t>
            </w:r>
            <w:r w:rsidRPr="0043511B">
              <w:rPr>
                <w:rFonts w:cs="Arial"/>
                <w:szCs w:val="24"/>
              </w:rPr>
              <w:t xml:space="preserve">cussions with parents </w:t>
            </w:r>
            <w:r w:rsidR="00734C72" w:rsidRPr="0043511B">
              <w:rPr>
                <w:rFonts w:cs="Arial"/>
                <w:szCs w:val="24"/>
              </w:rPr>
              <w:t xml:space="preserve">and teachers </w:t>
            </w:r>
            <w:r w:rsidRPr="0043511B">
              <w:rPr>
                <w:rFonts w:cs="Arial"/>
                <w:szCs w:val="24"/>
              </w:rPr>
              <w:t>show a dec</w:t>
            </w:r>
            <w:r w:rsidR="00734C72" w:rsidRPr="0043511B">
              <w:rPr>
                <w:rFonts w:cs="Arial"/>
                <w:szCs w:val="24"/>
              </w:rPr>
              <w:t>rease</w:t>
            </w:r>
            <w:r w:rsidRPr="0043511B">
              <w:rPr>
                <w:rFonts w:cs="Arial"/>
                <w:szCs w:val="24"/>
              </w:rPr>
              <w:t xml:space="preserve"> in the co</w:t>
            </w:r>
            <w:r w:rsidR="0067796D" w:rsidRPr="0043511B">
              <w:rPr>
                <w:rFonts w:cs="Arial"/>
                <w:szCs w:val="24"/>
              </w:rPr>
              <w:t>mpletion</w:t>
            </w:r>
            <w:r w:rsidRPr="0043511B">
              <w:rPr>
                <w:rFonts w:cs="Arial"/>
                <w:szCs w:val="24"/>
              </w:rPr>
              <w:t xml:space="preserve"> of homework and </w:t>
            </w:r>
            <w:r w:rsidR="00734C72" w:rsidRPr="0043511B">
              <w:rPr>
                <w:rFonts w:cs="Arial"/>
                <w:szCs w:val="24"/>
              </w:rPr>
              <w:t>daily reading from disadvantaged pupils</w:t>
            </w:r>
            <w:r w:rsidR="00186D59" w:rsidRPr="0043511B">
              <w:rPr>
                <w:rFonts w:cs="Arial"/>
                <w:szCs w:val="24"/>
              </w:rPr>
              <w:t>.</w:t>
            </w:r>
            <w:r w:rsidRPr="0043511B">
              <w:rPr>
                <w:rFonts w:cs="Arial"/>
                <w:szCs w:val="24"/>
              </w:rPr>
              <w:t xml:space="preserve"> School continue</w:t>
            </w:r>
            <w:r w:rsidR="003932AE" w:rsidRPr="0043511B">
              <w:rPr>
                <w:rFonts w:cs="Arial"/>
                <w:szCs w:val="24"/>
              </w:rPr>
              <w:t>s</w:t>
            </w:r>
            <w:r w:rsidRPr="0043511B">
              <w:rPr>
                <w:rFonts w:cs="Arial"/>
                <w:szCs w:val="24"/>
              </w:rPr>
              <w:t xml:space="preserve"> t</w:t>
            </w:r>
            <w:r w:rsidR="00186D59" w:rsidRPr="0043511B">
              <w:rPr>
                <w:rFonts w:cs="Arial"/>
                <w:szCs w:val="24"/>
              </w:rPr>
              <w:t xml:space="preserve">o support families in these areas, </w:t>
            </w:r>
            <w:r w:rsidRPr="0043511B">
              <w:rPr>
                <w:rFonts w:cs="Arial"/>
                <w:szCs w:val="24"/>
              </w:rPr>
              <w:t>however it is impactin</w:t>
            </w:r>
            <w:r w:rsidR="00186D59" w:rsidRPr="0043511B">
              <w:rPr>
                <w:rFonts w:cs="Arial"/>
                <w:szCs w:val="24"/>
              </w:rPr>
              <w:t>g</w:t>
            </w:r>
            <w:r w:rsidRPr="0043511B">
              <w:rPr>
                <w:rFonts w:cs="Arial"/>
                <w:szCs w:val="24"/>
              </w:rPr>
              <w:t xml:space="preserve"> on the attainment of pupils</w:t>
            </w:r>
            <w:r w:rsidR="00186D59" w:rsidRPr="0043511B">
              <w:rPr>
                <w:rFonts w:cs="Arial"/>
                <w:szCs w:val="24"/>
              </w:rPr>
              <w:t xml:space="preserve">, particularly in </w:t>
            </w:r>
            <w:r w:rsidR="00186D59" w:rsidRPr="0043511B">
              <w:rPr>
                <w:rFonts w:cs="Arial"/>
                <w:szCs w:val="24"/>
              </w:rPr>
              <w:lastRenderedPageBreak/>
              <w:t>Phonics and the Multiplication Tables check, as the results in these areas have been inconsistent over the last t</w:t>
            </w:r>
            <w:r w:rsidR="003932AE" w:rsidRPr="0043511B">
              <w:rPr>
                <w:rFonts w:cs="Arial"/>
                <w:szCs w:val="24"/>
              </w:rPr>
              <w:t>hree years.</w:t>
            </w:r>
          </w:p>
          <w:p w14:paraId="2A7D54FD" w14:textId="4F863CDA" w:rsidR="00F7503F" w:rsidRPr="0043511B" w:rsidRDefault="00F7503F" w:rsidP="003932AE">
            <w:pPr>
              <w:pStyle w:val="TableRowCentered"/>
              <w:jc w:val="left"/>
              <w:rPr>
                <w:rFonts w:cs="Arial"/>
                <w:iCs/>
                <w:sz w:val="22"/>
              </w:rPr>
            </w:pPr>
          </w:p>
        </w:tc>
      </w:tr>
    </w:tbl>
    <w:p w14:paraId="2A7D54FF" w14:textId="47248EAC" w:rsidR="00E66558" w:rsidRDefault="009D71E8">
      <w:pPr>
        <w:pStyle w:val="Heading2"/>
        <w:spacing w:before="600"/>
      </w:pPr>
      <w:bookmarkStart w:id="16" w:name="_Toc443397160"/>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106"/>
        <w:gridCol w:w="5380"/>
      </w:tblGrid>
      <w:tr w:rsidR="00E66558" w14:paraId="2A7D5503" w14:textId="77777777" w:rsidTr="009A6368">
        <w:tc>
          <w:tcPr>
            <w:tcW w:w="410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538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9A636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4FCE3CD0" w:rsidR="00E66558" w:rsidRPr="0043511B" w:rsidRDefault="003D7CEA">
            <w:pPr>
              <w:pStyle w:val="TableRow"/>
              <w:rPr>
                <w:rFonts w:cs="Arial"/>
              </w:rPr>
            </w:pPr>
            <w:r w:rsidRPr="0043511B">
              <w:rPr>
                <w:rFonts w:cs="Arial"/>
              </w:rPr>
              <w:t>Improved oral language skills and vocabulary among disadvantaged pupils.</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1FACB656" w:rsidR="00E66558" w:rsidRPr="0043511B" w:rsidRDefault="00EA316B">
            <w:pPr>
              <w:pStyle w:val="TableRowCentered"/>
              <w:jc w:val="left"/>
              <w:rPr>
                <w:rFonts w:cs="Arial"/>
                <w:sz w:val="22"/>
                <w:szCs w:val="22"/>
              </w:rPr>
            </w:pPr>
            <w:r w:rsidRPr="0043511B">
              <w:rPr>
                <w:rFonts w:cs="Arial"/>
                <w:szCs w:val="24"/>
              </w:rPr>
              <w:t>Assessments and observations indicate significantly improved oral language among disadvantaged pupils</w:t>
            </w:r>
            <w:r w:rsidR="0016249F" w:rsidRPr="0043511B">
              <w:rPr>
                <w:rFonts w:cs="Arial"/>
                <w:szCs w:val="24"/>
              </w:rPr>
              <w:t>. This is evident when triangulated with other sources of evidence, including engagement in lessons, book scrutiny</w:t>
            </w:r>
            <w:r w:rsidR="00C4226C" w:rsidRPr="0043511B">
              <w:rPr>
                <w:rFonts w:cs="Arial"/>
                <w:szCs w:val="24"/>
              </w:rPr>
              <w:t xml:space="preserve"> and ongoing formative assessment.</w:t>
            </w:r>
          </w:p>
        </w:tc>
      </w:tr>
      <w:tr w:rsidR="00B618BC" w14:paraId="2A7D5509" w14:textId="77777777" w:rsidTr="009A636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3FDBCB32" w:rsidR="00B618BC" w:rsidRPr="0043511B" w:rsidRDefault="00B618BC" w:rsidP="00B618BC">
            <w:pPr>
              <w:pStyle w:val="TableRow"/>
              <w:rPr>
                <w:rFonts w:cs="Arial"/>
                <w:sz w:val="22"/>
                <w:szCs w:val="22"/>
              </w:rPr>
            </w:pPr>
            <w:r w:rsidRPr="0043511B">
              <w:rPr>
                <w:rFonts w:cs="Arial"/>
              </w:rPr>
              <w:t>SEN</w:t>
            </w:r>
            <w:r w:rsidR="00C4226C" w:rsidRPr="0043511B">
              <w:rPr>
                <w:rFonts w:cs="Arial"/>
              </w:rPr>
              <w:t>D</w:t>
            </w:r>
            <w:r w:rsidRPr="0043511B">
              <w:rPr>
                <w:rFonts w:cs="Arial"/>
              </w:rPr>
              <w:t xml:space="preserve"> and vulnerable pupils’ needs met through targeted support and involvement of external agencies where appropriate.</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51C4594B" w:rsidR="00B618BC" w:rsidRPr="0043511B" w:rsidRDefault="00C4226C" w:rsidP="00B618BC">
            <w:pPr>
              <w:pStyle w:val="TableRowCentered"/>
              <w:jc w:val="left"/>
              <w:rPr>
                <w:rFonts w:cs="Arial"/>
                <w:sz w:val="22"/>
                <w:szCs w:val="22"/>
              </w:rPr>
            </w:pPr>
            <w:r w:rsidRPr="0043511B">
              <w:rPr>
                <w:rFonts w:cs="Arial"/>
                <w:szCs w:val="24"/>
              </w:rPr>
              <w:t xml:space="preserve">Assessments </w:t>
            </w:r>
            <w:r w:rsidR="00FA1D9E" w:rsidRPr="0043511B">
              <w:rPr>
                <w:rFonts w:cs="Arial"/>
                <w:szCs w:val="24"/>
              </w:rPr>
              <w:t xml:space="preserve">and observations show </w:t>
            </w:r>
            <w:r w:rsidR="00B57441" w:rsidRPr="0043511B">
              <w:rPr>
                <w:rFonts w:cs="Arial"/>
                <w:szCs w:val="24"/>
              </w:rPr>
              <w:t>increased attainment in the core subject areas</w:t>
            </w:r>
            <w:r w:rsidR="0078008F" w:rsidRPr="0043511B">
              <w:rPr>
                <w:rFonts w:cs="Arial"/>
                <w:szCs w:val="24"/>
              </w:rPr>
              <w:t>. This is evident through book scrutinies and ongoing formative assessment.</w:t>
            </w:r>
          </w:p>
        </w:tc>
      </w:tr>
      <w:tr w:rsidR="00B618BC" w14:paraId="2A7D550C" w14:textId="77777777" w:rsidTr="009A636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7BB77C0A" w:rsidR="00B618BC" w:rsidRPr="0043511B" w:rsidRDefault="00D80562" w:rsidP="00B618BC">
            <w:pPr>
              <w:pStyle w:val="TableRow"/>
              <w:rPr>
                <w:rFonts w:cs="Arial"/>
                <w:sz w:val="22"/>
                <w:szCs w:val="22"/>
              </w:rPr>
            </w:pPr>
            <w:r w:rsidRPr="0043511B">
              <w:rPr>
                <w:rFonts w:cs="Arial"/>
              </w:rPr>
              <w:t xml:space="preserve">To achieve and sustain </w:t>
            </w:r>
            <w:r w:rsidR="007301D7" w:rsidRPr="0043511B">
              <w:rPr>
                <w:rFonts w:cs="Arial"/>
              </w:rPr>
              <w:t>improved wellbeing for all pupils in school, particularly the disadvantaged pupils.</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3CE71883" w:rsidR="00B618BC" w:rsidRPr="0043511B" w:rsidRDefault="00CF284D" w:rsidP="00B618BC">
            <w:pPr>
              <w:pStyle w:val="TableRowCentered"/>
              <w:jc w:val="left"/>
              <w:rPr>
                <w:rFonts w:cs="Arial"/>
                <w:sz w:val="22"/>
                <w:szCs w:val="22"/>
              </w:rPr>
            </w:pPr>
            <w:r w:rsidRPr="0043511B">
              <w:rPr>
                <w:rFonts w:cs="Arial"/>
                <w:szCs w:val="24"/>
              </w:rPr>
              <w:t>Pupils are happy and confident learners, keen to come to school and show resilience to tackle a range of activities.</w:t>
            </w:r>
            <w:r w:rsidR="00E460CD" w:rsidRPr="0043511B">
              <w:rPr>
                <w:rFonts w:cs="Arial"/>
                <w:szCs w:val="24"/>
              </w:rPr>
              <w:t xml:space="preserve"> This will be demonstrated by </w:t>
            </w:r>
            <w:r w:rsidR="00F95D9E" w:rsidRPr="0043511B">
              <w:rPr>
                <w:rFonts w:cs="Arial"/>
                <w:szCs w:val="24"/>
              </w:rPr>
              <w:t>qualit</w:t>
            </w:r>
            <w:r w:rsidR="00D453A5" w:rsidRPr="0043511B">
              <w:rPr>
                <w:rFonts w:cs="Arial"/>
                <w:szCs w:val="24"/>
              </w:rPr>
              <w:t>ative data from pupil voice, pupil and parent surveys</w:t>
            </w:r>
            <w:r w:rsidR="004132E8" w:rsidRPr="0043511B">
              <w:rPr>
                <w:rFonts w:cs="Arial"/>
                <w:szCs w:val="24"/>
              </w:rPr>
              <w:t>, Boxall profile assessments</w:t>
            </w:r>
            <w:r w:rsidR="00D453A5" w:rsidRPr="0043511B">
              <w:rPr>
                <w:rFonts w:cs="Arial"/>
                <w:szCs w:val="24"/>
              </w:rPr>
              <w:t xml:space="preserve"> and teacher observations</w:t>
            </w:r>
            <w:r w:rsidR="002F7A20" w:rsidRPr="0043511B">
              <w:rPr>
                <w:rFonts w:cs="Arial"/>
                <w:szCs w:val="24"/>
              </w:rPr>
              <w:t>. There will also continue to be an increase in pupils attending extra-curricular activities</w:t>
            </w:r>
            <w:r w:rsidR="00421B06" w:rsidRPr="0043511B">
              <w:rPr>
                <w:rFonts w:cs="Arial"/>
                <w:szCs w:val="24"/>
              </w:rPr>
              <w:t>, particularly among disadvantaged pupils.</w:t>
            </w:r>
          </w:p>
        </w:tc>
      </w:tr>
      <w:tr w:rsidR="00B618BC" w14:paraId="2A7D550F" w14:textId="77777777" w:rsidTr="009A636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325514F4" w:rsidR="00B618BC" w:rsidRPr="0043511B" w:rsidRDefault="00BA619C" w:rsidP="00B618BC">
            <w:pPr>
              <w:pStyle w:val="TableRow"/>
              <w:rPr>
                <w:rFonts w:cs="Arial"/>
              </w:rPr>
            </w:pPr>
            <w:r w:rsidRPr="0043511B">
              <w:rPr>
                <w:rFonts w:cs="Arial"/>
              </w:rPr>
              <w:t>To achieve and sustain improved attendance for all pupils, particularly our disadvantaged pupils.</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A3EF4" w14:textId="77777777" w:rsidR="00E259A4" w:rsidRPr="0043511B" w:rsidRDefault="00E259A4" w:rsidP="00E259A4">
            <w:pPr>
              <w:pStyle w:val="TableRowCentered"/>
              <w:jc w:val="left"/>
              <w:rPr>
                <w:rFonts w:cs="Arial"/>
                <w:szCs w:val="24"/>
              </w:rPr>
            </w:pPr>
            <w:r w:rsidRPr="0043511B">
              <w:rPr>
                <w:rFonts w:cs="Arial"/>
                <w:szCs w:val="24"/>
              </w:rPr>
              <w:t xml:space="preserve">Sustained high attendance by 2026/2027 demonstrated by </w:t>
            </w:r>
          </w:p>
          <w:p w14:paraId="62F02118" w14:textId="5FD578A5" w:rsidR="00E259A4" w:rsidRPr="0043511B" w:rsidRDefault="00E259A4" w:rsidP="00E259A4">
            <w:pPr>
              <w:pStyle w:val="TableRowCentered"/>
              <w:jc w:val="left"/>
              <w:rPr>
                <w:rFonts w:cs="Arial"/>
                <w:szCs w:val="24"/>
              </w:rPr>
            </w:pPr>
            <w:r w:rsidRPr="0043511B">
              <w:rPr>
                <w:rFonts w:cs="Arial"/>
                <w:szCs w:val="24"/>
              </w:rPr>
              <w:t xml:space="preserve">The overall absence rate for all pupils being no </w:t>
            </w:r>
            <w:r w:rsidRPr="00FE1FC5">
              <w:rPr>
                <w:rFonts w:cs="Arial"/>
                <w:szCs w:val="24"/>
              </w:rPr>
              <w:t>more th</w:t>
            </w:r>
            <w:r w:rsidR="009F59C2" w:rsidRPr="00FE1FC5">
              <w:rPr>
                <w:rFonts w:cs="Arial"/>
                <w:szCs w:val="24"/>
              </w:rPr>
              <w:t>a</w:t>
            </w:r>
            <w:r w:rsidRPr="00FE1FC5">
              <w:rPr>
                <w:rFonts w:cs="Arial"/>
                <w:szCs w:val="24"/>
              </w:rPr>
              <w:t xml:space="preserve">n </w:t>
            </w:r>
            <w:r w:rsidR="0029306E" w:rsidRPr="00FE1FC5">
              <w:rPr>
                <w:rFonts w:cs="Arial"/>
                <w:szCs w:val="24"/>
              </w:rPr>
              <w:t>4</w:t>
            </w:r>
            <w:r w:rsidRPr="00FE1FC5">
              <w:rPr>
                <w:rFonts w:cs="Arial"/>
                <w:szCs w:val="24"/>
              </w:rPr>
              <w:t>% and</w:t>
            </w:r>
            <w:r w:rsidRPr="0043511B">
              <w:rPr>
                <w:rFonts w:cs="Arial"/>
                <w:szCs w:val="24"/>
              </w:rPr>
              <w:t xml:space="preserve"> the attendance gap between </w:t>
            </w:r>
            <w:r w:rsidR="00E95972" w:rsidRPr="0043511B">
              <w:rPr>
                <w:rFonts w:cs="Arial"/>
                <w:szCs w:val="24"/>
              </w:rPr>
              <w:t>disadvantaged</w:t>
            </w:r>
            <w:r w:rsidRPr="0043511B">
              <w:rPr>
                <w:rFonts w:cs="Arial"/>
                <w:szCs w:val="24"/>
              </w:rPr>
              <w:t xml:space="preserve"> pup</w:t>
            </w:r>
            <w:r w:rsidR="008F3426" w:rsidRPr="0043511B">
              <w:rPr>
                <w:rFonts w:cs="Arial"/>
                <w:szCs w:val="24"/>
              </w:rPr>
              <w:t>ils and their non-</w:t>
            </w:r>
            <w:r w:rsidR="00E95972" w:rsidRPr="0043511B">
              <w:rPr>
                <w:rFonts w:cs="Arial"/>
                <w:szCs w:val="24"/>
              </w:rPr>
              <w:t>disadvantaged</w:t>
            </w:r>
            <w:r w:rsidR="008F3426" w:rsidRPr="0043511B">
              <w:rPr>
                <w:rFonts w:cs="Arial"/>
                <w:szCs w:val="24"/>
              </w:rPr>
              <w:t xml:space="preserve"> peers being reduced by </w:t>
            </w:r>
            <w:r w:rsidR="00AC19E9">
              <w:rPr>
                <w:rFonts w:cs="Arial"/>
                <w:szCs w:val="24"/>
              </w:rPr>
              <w:t>5</w:t>
            </w:r>
            <w:r w:rsidR="008F3426" w:rsidRPr="0043511B">
              <w:rPr>
                <w:rFonts w:cs="Arial"/>
                <w:szCs w:val="24"/>
              </w:rPr>
              <w:t>%</w:t>
            </w:r>
            <w:r w:rsidR="001F323C">
              <w:rPr>
                <w:rFonts w:cs="Arial"/>
                <w:szCs w:val="24"/>
              </w:rPr>
              <w:t>.</w:t>
            </w:r>
          </w:p>
          <w:p w14:paraId="2A7D550E" w14:textId="068FF8A2" w:rsidR="008F3426" w:rsidRPr="0043511B" w:rsidRDefault="008F3426" w:rsidP="00E259A4">
            <w:pPr>
              <w:pStyle w:val="TableRowCentered"/>
              <w:jc w:val="left"/>
              <w:rPr>
                <w:rFonts w:cs="Arial"/>
                <w:szCs w:val="24"/>
              </w:rPr>
            </w:pPr>
            <w:r w:rsidRPr="0043511B">
              <w:rPr>
                <w:rFonts w:cs="Arial"/>
                <w:szCs w:val="24"/>
              </w:rPr>
              <w:t xml:space="preserve">The </w:t>
            </w:r>
            <w:r w:rsidR="00E95972" w:rsidRPr="0043511B">
              <w:rPr>
                <w:rFonts w:cs="Arial"/>
                <w:szCs w:val="24"/>
              </w:rPr>
              <w:t>percentage</w:t>
            </w:r>
            <w:r w:rsidRPr="0043511B">
              <w:rPr>
                <w:rFonts w:cs="Arial"/>
                <w:szCs w:val="24"/>
              </w:rPr>
              <w:t xml:space="preserve"> of all pupils who are </w:t>
            </w:r>
            <w:r w:rsidR="00E95972" w:rsidRPr="0043511B">
              <w:rPr>
                <w:rFonts w:cs="Arial"/>
                <w:szCs w:val="24"/>
              </w:rPr>
              <w:t>persistently</w:t>
            </w:r>
            <w:r w:rsidRPr="0043511B">
              <w:rPr>
                <w:rFonts w:cs="Arial"/>
                <w:szCs w:val="24"/>
              </w:rPr>
              <w:t xml:space="preserve"> absent being below </w:t>
            </w:r>
            <w:r w:rsidR="00AC19E9">
              <w:rPr>
                <w:rFonts w:cs="Arial"/>
                <w:szCs w:val="24"/>
              </w:rPr>
              <w:t>1</w:t>
            </w:r>
            <w:r w:rsidR="004D2D57">
              <w:rPr>
                <w:rFonts w:cs="Arial"/>
                <w:szCs w:val="24"/>
              </w:rPr>
              <w:t>0</w:t>
            </w:r>
            <w:r w:rsidRPr="0043511B">
              <w:rPr>
                <w:rFonts w:cs="Arial"/>
                <w:szCs w:val="24"/>
              </w:rPr>
              <w:t xml:space="preserve"> %</w:t>
            </w:r>
            <w:r w:rsidR="00FE1FC5">
              <w:rPr>
                <w:rFonts w:cs="Arial"/>
                <w:szCs w:val="24"/>
              </w:rPr>
              <w:t>.</w:t>
            </w:r>
          </w:p>
        </w:tc>
      </w:tr>
      <w:tr w:rsidR="00666362" w14:paraId="603C47DC" w14:textId="77777777" w:rsidTr="009A636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3599A" w14:textId="0611E3ED" w:rsidR="00666362" w:rsidRPr="0043511B" w:rsidRDefault="009823A5" w:rsidP="00B618BC">
            <w:pPr>
              <w:pStyle w:val="TableRow"/>
              <w:rPr>
                <w:rFonts w:cs="Arial"/>
              </w:rPr>
            </w:pPr>
            <w:r w:rsidRPr="0043511B">
              <w:rPr>
                <w:rFonts w:cs="Arial"/>
              </w:rPr>
              <w:t xml:space="preserve">To </w:t>
            </w:r>
            <w:r w:rsidR="00A047AA">
              <w:rPr>
                <w:rFonts w:cs="Arial"/>
              </w:rPr>
              <w:t xml:space="preserve">give parents more confidence in supporting their children with </w:t>
            </w:r>
            <w:r w:rsidRPr="0043511B">
              <w:rPr>
                <w:rFonts w:cs="Arial"/>
              </w:rPr>
              <w:t>homework and daily reading</w:t>
            </w:r>
            <w:r w:rsidR="00D42FB1" w:rsidRPr="0043511B">
              <w:rPr>
                <w:rFonts w:cs="Arial"/>
              </w:rPr>
              <w:t>, leading to i</w:t>
            </w:r>
            <w:r w:rsidR="008B50F7" w:rsidRPr="0043511B">
              <w:rPr>
                <w:rFonts w:cs="Arial"/>
              </w:rPr>
              <w:t xml:space="preserve">mproved </w:t>
            </w:r>
            <w:r w:rsidR="00D42FB1" w:rsidRPr="0043511B">
              <w:rPr>
                <w:rFonts w:cs="Arial"/>
              </w:rPr>
              <w:t>outcomes and more consistent results in Phonics and MTC.</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11F58" w14:textId="5F29C9E6" w:rsidR="00666362" w:rsidRPr="0043511B" w:rsidRDefault="00C80E49" w:rsidP="00B618BC">
            <w:pPr>
              <w:pStyle w:val="TableRowCentered"/>
              <w:jc w:val="left"/>
              <w:rPr>
                <w:rFonts w:cs="Arial"/>
                <w:szCs w:val="24"/>
              </w:rPr>
            </w:pPr>
            <w:r w:rsidRPr="0043511B">
              <w:rPr>
                <w:rFonts w:cs="Arial"/>
                <w:szCs w:val="24"/>
              </w:rPr>
              <w:t>Observations and attendance at Parents’ Evenings and educational workshops show an increased involvement from parents</w:t>
            </w:r>
            <w:r w:rsidR="002F4A02" w:rsidRPr="0043511B">
              <w:rPr>
                <w:rFonts w:cs="Arial"/>
                <w:szCs w:val="24"/>
              </w:rPr>
              <w:t>. Assessments results, book scrutinies and lesson observations</w:t>
            </w:r>
            <w:r w:rsidR="00A87107" w:rsidRPr="0043511B">
              <w:rPr>
                <w:rFonts w:cs="Arial"/>
                <w:szCs w:val="24"/>
              </w:rPr>
              <w:t xml:space="preserve"> show more consistent results year on year in the Phonics check and MTC.</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21B45E4A" w:rsidR="00E66558" w:rsidRPr="0039756B" w:rsidRDefault="009D71E8">
      <w:pPr>
        <w:pStyle w:val="Heading3"/>
        <w:rPr>
          <w:color w:val="FF0000"/>
        </w:rPr>
      </w:pPr>
      <w:r>
        <w:t>Teaching (for example, CPD, recruitment and retentio</w:t>
      </w:r>
      <w:r w:rsidRPr="00324B1D">
        <w:rPr>
          <w:color w:val="1F497D" w:themeColor="text2"/>
        </w:rPr>
        <w:t>n</w:t>
      </w:r>
      <w:r w:rsidR="00324B1D" w:rsidRPr="00324B1D">
        <w:rPr>
          <w:color w:val="1F497D" w:themeColor="text2"/>
        </w:rPr>
        <w:t>)</w:t>
      </w:r>
    </w:p>
    <w:p w14:paraId="2A7D5515" w14:textId="5D3B2E73" w:rsidR="00E66558" w:rsidRDefault="009D71E8">
      <w:r>
        <w:t xml:space="preserve">Budgeted cost: </w:t>
      </w:r>
      <w:r w:rsidR="00F71182">
        <w:t>£4000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92CDE" w14:textId="4951F714" w:rsidR="006B1A56" w:rsidRPr="0043511B" w:rsidRDefault="006B1A56" w:rsidP="006B1A56">
            <w:pPr>
              <w:pStyle w:val="TableRow"/>
              <w:spacing w:after="240"/>
              <w:ind w:left="0" w:right="0"/>
              <w:rPr>
                <w:rFonts w:cs="Arial"/>
                <w:color w:val="auto"/>
                <w:shd w:val="clear" w:color="auto" w:fill="FFFFFF"/>
              </w:rPr>
            </w:pPr>
            <w:r w:rsidRPr="0043511B">
              <w:rPr>
                <w:rFonts w:cs="Arial"/>
                <w:iCs/>
                <w:color w:val="auto"/>
                <w:lang w:val="en-US"/>
              </w:rPr>
              <w:t>Purchase of standardised diagnostic assessments</w:t>
            </w:r>
            <w:r w:rsidR="00554AF1">
              <w:rPr>
                <w:rFonts w:cs="Arial"/>
                <w:iCs/>
                <w:color w:val="auto"/>
                <w:lang w:val="en-US"/>
              </w:rPr>
              <w:t xml:space="preserve"> (NFER</w:t>
            </w:r>
            <w:r w:rsidR="00CA508C">
              <w:rPr>
                <w:rFonts w:cs="Arial"/>
                <w:iCs/>
                <w:color w:val="auto"/>
                <w:lang w:val="en-US"/>
              </w:rPr>
              <w:t>/GL assessments/White Rose/Headstart</w:t>
            </w:r>
            <w:r w:rsidR="00554AF1">
              <w:rPr>
                <w:rFonts w:cs="Arial"/>
                <w:iCs/>
                <w:color w:val="auto"/>
                <w:lang w:val="en-US"/>
              </w:rPr>
              <w:t>)</w:t>
            </w:r>
          </w:p>
          <w:p w14:paraId="78A9F2DC" w14:textId="77777777" w:rsidR="001268B4" w:rsidRPr="0043511B" w:rsidRDefault="006B1A56" w:rsidP="006B1A56">
            <w:pPr>
              <w:pStyle w:val="NoSpacing"/>
              <w:rPr>
                <w:rFonts w:cs="Arial"/>
                <w:sz w:val="24"/>
                <w:szCs w:val="24"/>
                <w:shd w:val="clear" w:color="auto" w:fill="FFFFFF"/>
              </w:rPr>
            </w:pPr>
            <w:r w:rsidRPr="0043511B">
              <w:rPr>
                <w:rFonts w:cs="Arial"/>
                <w:sz w:val="24"/>
                <w:szCs w:val="24"/>
                <w:shd w:val="clear" w:color="auto" w:fill="FFFFFF"/>
              </w:rPr>
              <w:t xml:space="preserve">Training for staff to </w:t>
            </w:r>
          </w:p>
          <w:p w14:paraId="10127E5C" w14:textId="77777777" w:rsidR="001268B4" w:rsidRPr="0043511B" w:rsidRDefault="006B1A56" w:rsidP="006B1A56">
            <w:pPr>
              <w:pStyle w:val="NoSpacing"/>
              <w:rPr>
                <w:rFonts w:cs="Arial"/>
                <w:sz w:val="24"/>
                <w:szCs w:val="24"/>
                <w:shd w:val="clear" w:color="auto" w:fill="FFFFFF"/>
              </w:rPr>
            </w:pPr>
            <w:r w:rsidRPr="0043511B">
              <w:rPr>
                <w:rFonts w:cs="Arial"/>
                <w:sz w:val="24"/>
                <w:szCs w:val="24"/>
                <w:shd w:val="clear" w:color="auto" w:fill="FFFFFF"/>
              </w:rPr>
              <w:t xml:space="preserve">ensure assessments are interpreted and </w:t>
            </w:r>
          </w:p>
          <w:p w14:paraId="4F609CB8" w14:textId="65C4582D" w:rsidR="00B21A16" w:rsidRPr="0043511B" w:rsidRDefault="006B1A56" w:rsidP="00530950">
            <w:pPr>
              <w:pStyle w:val="NoSpacing"/>
              <w:rPr>
                <w:rFonts w:cs="Arial"/>
                <w:sz w:val="24"/>
                <w:szCs w:val="24"/>
              </w:rPr>
            </w:pPr>
            <w:r w:rsidRPr="0043511B">
              <w:rPr>
                <w:rFonts w:cs="Arial"/>
                <w:sz w:val="24"/>
                <w:szCs w:val="24"/>
                <w:shd w:val="clear" w:color="auto" w:fill="FFFFFF"/>
              </w:rPr>
              <w:t>administered correctly</w:t>
            </w:r>
            <w:r w:rsidR="00F559FB" w:rsidRPr="0043511B">
              <w:rPr>
                <w:rFonts w:cs="Arial"/>
                <w:sz w:val="24"/>
                <w:szCs w:val="24"/>
                <w:shd w:val="clear" w:color="auto" w:fill="FFFFFF"/>
              </w:rPr>
              <w:t>.</w:t>
            </w:r>
          </w:p>
          <w:p w14:paraId="22072A48" w14:textId="77777777" w:rsidR="006E63BD" w:rsidRPr="0043511B" w:rsidRDefault="006E63BD" w:rsidP="00153BF9">
            <w:pPr>
              <w:pStyle w:val="NoSpacing"/>
              <w:rPr>
                <w:rFonts w:cs="Arial"/>
              </w:rPr>
            </w:pPr>
          </w:p>
          <w:p w14:paraId="3181B94C" w14:textId="77777777" w:rsidR="006E63BD" w:rsidRPr="0043511B" w:rsidRDefault="006E63BD" w:rsidP="00153BF9">
            <w:pPr>
              <w:pStyle w:val="NoSpacing"/>
              <w:rPr>
                <w:rFonts w:cs="Arial"/>
              </w:rPr>
            </w:pPr>
          </w:p>
          <w:p w14:paraId="36DF7DA8" w14:textId="77777777" w:rsidR="006E63BD" w:rsidRPr="0043511B" w:rsidRDefault="006E63BD" w:rsidP="00153BF9">
            <w:pPr>
              <w:pStyle w:val="NoSpacing"/>
              <w:rPr>
                <w:rFonts w:cs="Arial"/>
              </w:rPr>
            </w:pPr>
          </w:p>
          <w:p w14:paraId="4A6BBBF6" w14:textId="77777777" w:rsidR="00153BF9" w:rsidRPr="0043511B" w:rsidRDefault="00153BF9" w:rsidP="00530950">
            <w:pPr>
              <w:pStyle w:val="NoSpacing"/>
              <w:rPr>
                <w:rFonts w:cs="Arial"/>
              </w:rPr>
            </w:pPr>
          </w:p>
          <w:p w14:paraId="31746718" w14:textId="37E4B844" w:rsidR="006F69C2" w:rsidRPr="0043511B" w:rsidRDefault="006F69C2" w:rsidP="006F69C2">
            <w:pPr>
              <w:pStyle w:val="NoSpacing"/>
              <w:rPr>
                <w:rFonts w:cs="Arial"/>
              </w:rPr>
            </w:pPr>
          </w:p>
          <w:p w14:paraId="2A7D551A" w14:textId="331901D8" w:rsidR="00E66558" w:rsidRPr="0043511B" w:rsidRDefault="00E66558" w:rsidP="00886F9E">
            <w:pPr>
              <w:pStyle w:val="TableRow"/>
              <w:ind w:left="0"/>
              <w:rPr>
                <w:rFonts w:cs="Arial"/>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98B14" w14:textId="77777777" w:rsidR="00EB0586" w:rsidRPr="0043511B" w:rsidRDefault="00EB0586" w:rsidP="00EB0586">
            <w:pPr>
              <w:pStyle w:val="TableRowCentered"/>
              <w:ind w:left="0" w:right="0"/>
              <w:jc w:val="left"/>
              <w:rPr>
                <w:rFonts w:cs="Arial"/>
                <w:color w:val="auto"/>
                <w:szCs w:val="24"/>
              </w:rPr>
            </w:pPr>
            <w:r w:rsidRPr="0043511B">
              <w:rPr>
                <w:rFonts w:cs="Arial"/>
                <w:color w:val="auto"/>
                <w:szCs w:val="24"/>
              </w:rPr>
              <w:t>When used effectively, diagnostic assessments can indicate areas for development for individual pupils, or across classes and year groups:</w:t>
            </w:r>
          </w:p>
          <w:p w14:paraId="54A3811E" w14:textId="5EA6BB5E" w:rsidR="00D86BE2" w:rsidRPr="0043511B" w:rsidRDefault="00EB0586" w:rsidP="00D86BE2">
            <w:pPr>
              <w:rPr>
                <w:rFonts w:eastAsia="Calibri" w:cs="Arial"/>
                <w:sz w:val="20"/>
                <w:szCs w:val="20"/>
                <w:lang w:eastAsia="en-US"/>
              </w:rPr>
            </w:pPr>
            <w:hyperlink r:id="rId11" w:history="1">
              <w:r w:rsidRPr="0043511B">
                <w:rPr>
                  <w:rStyle w:val="Hyperlink"/>
                  <w:rFonts w:cs="Arial"/>
                  <w:iCs/>
                  <w:szCs w:val="28"/>
                  <w:lang w:val="en-US"/>
                </w:rPr>
                <w:t>Diagnostic assessment | EEF</w:t>
              </w:r>
            </w:hyperlink>
          </w:p>
          <w:p w14:paraId="1A08710A" w14:textId="77777777" w:rsidR="00E66558" w:rsidRPr="0043511B" w:rsidRDefault="00E66558">
            <w:pPr>
              <w:pStyle w:val="TableRowCentered"/>
              <w:jc w:val="left"/>
              <w:rPr>
                <w:rFonts w:cs="Arial"/>
                <w:sz w:val="22"/>
              </w:rPr>
            </w:pPr>
          </w:p>
          <w:p w14:paraId="06D35899" w14:textId="77777777" w:rsidR="00E2676E" w:rsidRPr="0043511B" w:rsidRDefault="00E2676E">
            <w:pPr>
              <w:pStyle w:val="TableRowCentered"/>
              <w:jc w:val="left"/>
              <w:rPr>
                <w:rFonts w:cs="Arial"/>
                <w:sz w:val="22"/>
              </w:rPr>
            </w:pPr>
          </w:p>
          <w:p w14:paraId="2A7D551B" w14:textId="6C576B32" w:rsidR="00E2676E" w:rsidRPr="0043511B" w:rsidRDefault="00E2676E" w:rsidP="00886F9E">
            <w:pPr>
              <w:pStyle w:val="TableRowCentered"/>
              <w:ind w:left="0"/>
              <w:jc w:val="left"/>
              <w:rPr>
                <w:rFonts w:cs="Arial"/>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D095F" w14:textId="6CF7737F" w:rsidR="006A47DA" w:rsidRPr="00060F23" w:rsidRDefault="00685507">
            <w:pPr>
              <w:pStyle w:val="TableRowCentered"/>
              <w:jc w:val="left"/>
              <w:rPr>
                <w:rFonts w:cs="Arial"/>
              </w:rPr>
            </w:pPr>
            <w:r w:rsidRPr="00060F23">
              <w:rPr>
                <w:rFonts w:cs="Arial"/>
              </w:rPr>
              <w:t>2,5</w:t>
            </w:r>
          </w:p>
          <w:p w14:paraId="408ED178" w14:textId="77777777" w:rsidR="006A47DA" w:rsidRDefault="006A47DA">
            <w:pPr>
              <w:pStyle w:val="TableRowCentered"/>
              <w:jc w:val="left"/>
              <w:rPr>
                <w:rFonts w:ascii="Lato Light" w:hAnsi="Lato Light"/>
              </w:rPr>
            </w:pPr>
          </w:p>
          <w:p w14:paraId="18F92704" w14:textId="77777777" w:rsidR="006A47DA" w:rsidRDefault="006A47DA">
            <w:pPr>
              <w:pStyle w:val="TableRowCentered"/>
              <w:jc w:val="left"/>
              <w:rPr>
                <w:rFonts w:ascii="Lato Light" w:hAnsi="Lato Light"/>
              </w:rPr>
            </w:pPr>
          </w:p>
          <w:p w14:paraId="0FCBAAB9" w14:textId="77777777" w:rsidR="006A47DA" w:rsidRDefault="006A47DA">
            <w:pPr>
              <w:pStyle w:val="TableRowCentered"/>
              <w:jc w:val="left"/>
              <w:rPr>
                <w:rFonts w:ascii="Lato Light" w:hAnsi="Lato Light"/>
              </w:rPr>
            </w:pPr>
          </w:p>
          <w:p w14:paraId="106B96B8" w14:textId="77777777" w:rsidR="006A47DA" w:rsidRDefault="006A47DA">
            <w:pPr>
              <w:pStyle w:val="TableRowCentered"/>
              <w:jc w:val="left"/>
              <w:rPr>
                <w:rFonts w:ascii="Lato Light" w:hAnsi="Lato Light"/>
              </w:rPr>
            </w:pPr>
          </w:p>
          <w:p w14:paraId="2E4CDB5C" w14:textId="77777777" w:rsidR="006A47DA" w:rsidRDefault="006A47DA">
            <w:pPr>
              <w:pStyle w:val="TableRowCentered"/>
              <w:jc w:val="left"/>
              <w:rPr>
                <w:rFonts w:ascii="Lato Light" w:hAnsi="Lato Light"/>
              </w:rPr>
            </w:pPr>
          </w:p>
          <w:p w14:paraId="643F4E8C" w14:textId="77777777" w:rsidR="006A47DA" w:rsidRDefault="006A47DA">
            <w:pPr>
              <w:pStyle w:val="TableRowCentered"/>
              <w:jc w:val="left"/>
              <w:rPr>
                <w:rFonts w:ascii="Lato Light" w:hAnsi="Lato Light"/>
              </w:rPr>
            </w:pPr>
          </w:p>
          <w:p w14:paraId="20A6E187" w14:textId="77777777" w:rsidR="006A47DA" w:rsidRDefault="006A47DA">
            <w:pPr>
              <w:pStyle w:val="TableRowCentered"/>
              <w:jc w:val="left"/>
              <w:rPr>
                <w:rFonts w:ascii="Lato Light" w:hAnsi="Lato Light"/>
              </w:rPr>
            </w:pPr>
          </w:p>
          <w:p w14:paraId="138E30F4" w14:textId="77777777" w:rsidR="006A47DA" w:rsidRDefault="006A47DA">
            <w:pPr>
              <w:pStyle w:val="TableRowCentered"/>
              <w:jc w:val="left"/>
              <w:rPr>
                <w:rFonts w:ascii="Lato Light" w:hAnsi="Lato Light"/>
              </w:rPr>
            </w:pPr>
          </w:p>
          <w:p w14:paraId="5FB59544" w14:textId="77777777" w:rsidR="006E2339" w:rsidRDefault="006E2339">
            <w:pPr>
              <w:pStyle w:val="TableRowCentered"/>
              <w:jc w:val="left"/>
              <w:rPr>
                <w:rFonts w:ascii="Lato Light" w:hAnsi="Lato Light"/>
              </w:rPr>
            </w:pPr>
          </w:p>
          <w:p w14:paraId="40948261" w14:textId="77777777" w:rsidR="006E2339" w:rsidRDefault="006E2339">
            <w:pPr>
              <w:pStyle w:val="TableRowCentered"/>
              <w:jc w:val="left"/>
              <w:rPr>
                <w:rFonts w:ascii="Lato Light" w:hAnsi="Lato Light"/>
              </w:rPr>
            </w:pPr>
          </w:p>
          <w:p w14:paraId="5BCFF3DC" w14:textId="77777777" w:rsidR="006E2339" w:rsidRDefault="006E2339">
            <w:pPr>
              <w:pStyle w:val="TableRowCentered"/>
              <w:jc w:val="left"/>
              <w:rPr>
                <w:rFonts w:ascii="Lato Light" w:hAnsi="Lato Light"/>
              </w:rPr>
            </w:pPr>
          </w:p>
          <w:p w14:paraId="3128A686" w14:textId="77777777" w:rsidR="006E2339" w:rsidRDefault="006E2339">
            <w:pPr>
              <w:pStyle w:val="TableRowCentered"/>
              <w:jc w:val="left"/>
              <w:rPr>
                <w:rFonts w:ascii="Lato Light" w:hAnsi="Lato Light"/>
              </w:rPr>
            </w:pPr>
          </w:p>
          <w:p w14:paraId="4AF8591F" w14:textId="77777777" w:rsidR="006E2339" w:rsidRDefault="006E2339">
            <w:pPr>
              <w:pStyle w:val="TableRowCentered"/>
              <w:jc w:val="left"/>
              <w:rPr>
                <w:rFonts w:ascii="Lato Light" w:hAnsi="Lato Light"/>
              </w:rPr>
            </w:pPr>
          </w:p>
          <w:p w14:paraId="29BBDB4E" w14:textId="77777777" w:rsidR="006E2339" w:rsidRDefault="006E2339">
            <w:pPr>
              <w:pStyle w:val="TableRowCentered"/>
              <w:jc w:val="left"/>
              <w:rPr>
                <w:rFonts w:ascii="Lato Light" w:hAnsi="Lato Light"/>
              </w:rPr>
            </w:pPr>
          </w:p>
          <w:p w14:paraId="2A7D551C" w14:textId="5BADD7C9" w:rsidR="00FC30EF" w:rsidRDefault="00FC30EF">
            <w:pPr>
              <w:pStyle w:val="TableRowCentered"/>
              <w:jc w:val="left"/>
              <w:rPr>
                <w:sz w:val="22"/>
              </w:rPr>
            </w:pPr>
          </w:p>
        </w:tc>
      </w:tr>
      <w:tr w:rsidR="00E976A0"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701DCE38" w:rsidR="00E976A0" w:rsidRPr="00060F23" w:rsidRDefault="00E976A0" w:rsidP="00E976A0">
            <w:pPr>
              <w:pStyle w:val="TableRow"/>
              <w:rPr>
                <w:rFonts w:cs="Arial"/>
                <w:iCs/>
              </w:rPr>
            </w:pPr>
            <w:r w:rsidRPr="00060F23">
              <w:rPr>
                <w:rFonts w:cs="Arial"/>
                <w:iCs/>
              </w:rPr>
              <w:t xml:space="preserve">To continue to purchase Ed Shed to improve </w:t>
            </w:r>
            <w:r w:rsidR="00AA55E7">
              <w:rPr>
                <w:rFonts w:cs="Arial"/>
                <w:iCs/>
              </w:rPr>
              <w:t xml:space="preserve">participation in </w:t>
            </w:r>
            <w:r w:rsidRPr="00060F23">
              <w:rPr>
                <w:rFonts w:cs="Arial"/>
                <w:iCs/>
              </w:rPr>
              <w:t>homework and increased parental engagement in supporting pupils with their learning.</w:t>
            </w:r>
            <w:r w:rsidR="001715EA" w:rsidRPr="00060F23">
              <w:rPr>
                <w:rFonts w:cs="Arial"/>
                <w:iCs/>
              </w:rPr>
              <w:t xml:space="preserve"> School will also purchase Timetables Rockstars to support in pupil engagement with timetables in KS2.</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0F87" w14:textId="77777777" w:rsidR="00E976A0" w:rsidRPr="00060F23" w:rsidRDefault="00E976A0" w:rsidP="00E976A0">
            <w:pPr>
              <w:rPr>
                <w:rFonts w:cs="Arial"/>
              </w:rPr>
            </w:pPr>
            <w:r w:rsidRPr="00060F23">
              <w:rPr>
                <w:rFonts w:cs="Arial"/>
              </w:rPr>
              <w:t>Homework has a positive impact on average (+5 months).</w:t>
            </w:r>
          </w:p>
          <w:p w14:paraId="2A7D551F" w14:textId="19F18A35" w:rsidR="00E976A0" w:rsidRPr="00060F23" w:rsidRDefault="00E976A0" w:rsidP="00E976A0">
            <w:pPr>
              <w:pStyle w:val="TableRowCentered"/>
              <w:jc w:val="left"/>
              <w:rPr>
                <w:rFonts w:cs="Arial"/>
                <w:sz w:val="22"/>
              </w:rPr>
            </w:pPr>
            <w:r w:rsidRPr="00060F23">
              <w:rPr>
                <w:rFonts w:cs="Arial"/>
                <w:szCs w:val="24"/>
              </w:rPr>
              <w:t xml:space="preserve">Pupils eligible for free school meals typically receive additional benefits from homework. However, surveys in England suggest that pupils from disadvantaged backgrounds are less likely to have a quiet working space, are less likely to have access to a device suitable for learning or a stable internet connection and may receive less parental support to complete homework and develop effective learning habits. These may increase the gap in attainment. </w:t>
            </w:r>
            <w:r w:rsidRPr="00060F23">
              <w:rPr>
                <w:rFonts w:cs="Arial"/>
                <w:b/>
                <w:bCs/>
                <w:szCs w:val="24"/>
              </w:rPr>
              <w:t>Homework clubs can help to overcome these barriers</w:t>
            </w:r>
            <w:r w:rsidRPr="00060F23">
              <w:rPr>
                <w:rFonts w:cs="Arial"/>
                <w:szCs w:val="24"/>
              </w:rPr>
              <w:t xml:space="preserve"> by offering pupils the resources and support needed to undertake homework or revision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1CBE4F0E" w:rsidR="00E976A0" w:rsidRDefault="001715EA" w:rsidP="00E976A0">
            <w:pPr>
              <w:pStyle w:val="TableRowCentered"/>
              <w:jc w:val="left"/>
              <w:rPr>
                <w:sz w:val="22"/>
              </w:rPr>
            </w:pPr>
            <w:r>
              <w:rPr>
                <w:sz w:val="22"/>
              </w:rPr>
              <w:t>5</w:t>
            </w:r>
          </w:p>
        </w:tc>
      </w:tr>
      <w:tr w:rsidR="00E976A0" w14:paraId="27DED67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B6A0" w14:textId="77777777" w:rsidR="00E976A0" w:rsidRPr="00060F23" w:rsidRDefault="00E976A0" w:rsidP="00E976A0">
            <w:pPr>
              <w:pStyle w:val="NoSpacing"/>
              <w:rPr>
                <w:rFonts w:cs="Arial"/>
                <w:iCs/>
                <w:sz w:val="24"/>
                <w:szCs w:val="24"/>
                <w:lang w:val="en-US"/>
              </w:rPr>
            </w:pPr>
            <w:r w:rsidRPr="00060F23">
              <w:rPr>
                <w:rFonts w:cs="Arial"/>
                <w:iCs/>
                <w:sz w:val="24"/>
                <w:szCs w:val="24"/>
                <w:lang w:val="en-US"/>
              </w:rPr>
              <w:lastRenderedPageBreak/>
              <w:t xml:space="preserve">Embedding dialogic </w:t>
            </w:r>
          </w:p>
          <w:p w14:paraId="638FDAB3" w14:textId="77777777" w:rsidR="00E976A0" w:rsidRPr="00060F23" w:rsidRDefault="00E976A0" w:rsidP="00E976A0">
            <w:pPr>
              <w:pStyle w:val="NoSpacing"/>
              <w:rPr>
                <w:rFonts w:cs="Arial"/>
                <w:iCs/>
                <w:sz w:val="24"/>
                <w:szCs w:val="24"/>
                <w:lang w:val="en-US"/>
              </w:rPr>
            </w:pPr>
            <w:r w:rsidRPr="00060F23">
              <w:rPr>
                <w:rFonts w:cs="Arial"/>
                <w:iCs/>
                <w:sz w:val="24"/>
                <w:szCs w:val="24"/>
                <w:lang w:val="en-US"/>
              </w:rPr>
              <w:t xml:space="preserve">activities across the school curriculum. These can support </w:t>
            </w:r>
          </w:p>
          <w:p w14:paraId="62121BAC" w14:textId="77777777" w:rsidR="00E976A0" w:rsidRPr="00060F23" w:rsidRDefault="00E976A0" w:rsidP="00E976A0">
            <w:pPr>
              <w:pStyle w:val="NoSpacing"/>
              <w:rPr>
                <w:rFonts w:cs="Arial"/>
                <w:iCs/>
                <w:sz w:val="24"/>
                <w:szCs w:val="24"/>
                <w:lang w:val="en-US"/>
              </w:rPr>
            </w:pPr>
            <w:r w:rsidRPr="00060F23">
              <w:rPr>
                <w:rFonts w:cs="Arial"/>
                <w:iCs/>
                <w:sz w:val="24"/>
                <w:szCs w:val="24"/>
                <w:lang w:val="en-US"/>
              </w:rPr>
              <w:t xml:space="preserve">pupils to articulate key ideas, consolidate </w:t>
            </w:r>
          </w:p>
          <w:p w14:paraId="5BA0CFBD" w14:textId="77777777" w:rsidR="00E976A0" w:rsidRPr="00060F23" w:rsidRDefault="00E976A0" w:rsidP="00E976A0">
            <w:pPr>
              <w:pStyle w:val="NoSpacing"/>
              <w:rPr>
                <w:rFonts w:cs="Arial"/>
                <w:iCs/>
                <w:sz w:val="24"/>
                <w:szCs w:val="24"/>
                <w:lang w:val="en-US"/>
              </w:rPr>
            </w:pPr>
            <w:r w:rsidRPr="00060F23">
              <w:rPr>
                <w:rFonts w:cs="Arial"/>
                <w:iCs/>
                <w:sz w:val="24"/>
                <w:szCs w:val="24"/>
                <w:lang w:val="en-US"/>
              </w:rPr>
              <w:t xml:space="preserve">understanding and </w:t>
            </w:r>
          </w:p>
          <w:p w14:paraId="11E38FF9" w14:textId="77777777" w:rsidR="005423B6" w:rsidRDefault="00E976A0" w:rsidP="00E976A0">
            <w:pPr>
              <w:pStyle w:val="NoSpacing"/>
              <w:rPr>
                <w:rFonts w:cs="Arial"/>
                <w:sz w:val="24"/>
                <w:szCs w:val="24"/>
              </w:rPr>
            </w:pPr>
            <w:r w:rsidRPr="00060F23">
              <w:rPr>
                <w:rFonts w:cs="Arial"/>
                <w:iCs/>
                <w:sz w:val="24"/>
                <w:szCs w:val="24"/>
                <w:lang w:val="en-US"/>
              </w:rPr>
              <w:t xml:space="preserve">extend vocabulary. </w:t>
            </w:r>
            <w:r w:rsidRPr="00060F23">
              <w:rPr>
                <w:rFonts w:cs="Arial"/>
                <w:sz w:val="24"/>
                <w:szCs w:val="24"/>
              </w:rPr>
              <w:t xml:space="preserve">We will purchase </w:t>
            </w:r>
          </w:p>
          <w:p w14:paraId="296D3992" w14:textId="77777777" w:rsidR="005423B6" w:rsidRDefault="00E976A0" w:rsidP="00E976A0">
            <w:pPr>
              <w:pStyle w:val="NoSpacing"/>
              <w:rPr>
                <w:rFonts w:cs="Arial"/>
                <w:sz w:val="24"/>
                <w:szCs w:val="24"/>
              </w:rPr>
            </w:pPr>
            <w:r w:rsidRPr="00060F23">
              <w:rPr>
                <w:rFonts w:cs="Arial"/>
                <w:sz w:val="24"/>
                <w:szCs w:val="24"/>
              </w:rPr>
              <w:t xml:space="preserve">resources and fund </w:t>
            </w:r>
          </w:p>
          <w:p w14:paraId="4D42134D" w14:textId="77777777" w:rsidR="005423B6" w:rsidRDefault="00E976A0" w:rsidP="00E976A0">
            <w:pPr>
              <w:pStyle w:val="NoSpacing"/>
              <w:rPr>
                <w:rFonts w:cs="Arial"/>
                <w:sz w:val="24"/>
                <w:szCs w:val="24"/>
              </w:rPr>
            </w:pPr>
            <w:r w:rsidRPr="00060F23">
              <w:rPr>
                <w:rFonts w:cs="Arial"/>
                <w:sz w:val="24"/>
                <w:szCs w:val="24"/>
              </w:rPr>
              <w:t xml:space="preserve">ongoing teacher </w:t>
            </w:r>
          </w:p>
          <w:p w14:paraId="399F96F3" w14:textId="5E46629D" w:rsidR="00E976A0" w:rsidRPr="00060F23" w:rsidRDefault="00E976A0" w:rsidP="00E976A0">
            <w:pPr>
              <w:pStyle w:val="NoSpacing"/>
              <w:rPr>
                <w:rFonts w:cs="Arial"/>
                <w:sz w:val="24"/>
                <w:szCs w:val="24"/>
              </w:rPr>
            </w:pPr>
            <w:r w:rsidRPr="00060F23">
              <w:rPr>
                <w:rFonts w:cs="Arial"/>
                <w:sz w:val="24"/>
                <w:szCs w:val="24"/>
              </w:rPr>
              <w:t xml:space="preserve">training and </w:t>
            </w:r>
          </w:p>
          <w:p w14:paraId="2C70255C" w14:textId="6BBC80A1" w:rsidR="00E976A0" w:rsidRPr="00060F23" w:rsidRDefault="00E976A0" w:rsidP="00E976A0">
            <w:pPr>
              <w:pStyle w:val="NoSpacing"/>
              <w:rPr>
                <w:rFonts w:cs="Arial"/>
                <w:sz w:val="24"/>
                <w:szCs w:val="24"/>
              </w:rPr>
            </w:pPr>
            <w:r w:rsidRPr="00060F23">
              <w:rPr>
                <w:rFonts w:cs="Arial"/>
                <w:sz w:val="24"/>
                <w:szCs w:val="24"/>
              </w:rPr>
              <w:t>release time.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7CC77" w14:textId="77777777" w:rsidR="00E976A0" w:rsidRPr="00060F23" w:rsidRDefault="00E976A0" w:rsidP="00E976A0">
            <w:pPr>
              <w:autoSpaceDN/>
              <w:spacing w:before="60" w:after="60"/>
              <w:rPr>
                <w:rFonts w:cs="Arial"/>
                <w:color w:val="auto"/>
              </w:rPr>
            </w:pPr>
            <w:r w:rsidRPr="00060F23">
              <w:rPr>
                <w:rFonts w:cs="Arial"/>
                <w:color w:val="auto"/>
              </w:rPr>
              <w:t>There is a strong evidence base that suggests oral language interventions, including dialogic activities such as high-quality classroom discussion, are inexpensive to implement with high impacts on reading:</w:t>
            </w:r>
          </w:p>
          <w:p w14:paraId="6555FB9C" w14:textId="35CBBA5D" w:rsidR="00E976A0" w:rsidRDefault="00E976A0" w:rsidP="00E976A0">
            <w:pPr>
              <w:pStyle w:val="TableRowCentered"/>
              <w:jc w:val="left"/>
              <w:rPr>
                <w:sz w:val="22"/>
              </w:rPr>
            </w:pPr>
            <w:hyperlink r:id="rId12" w:history="1">
              <w:r w:rsidRPr="00060F23">
                <w:rPr>
                  <w:rStyle w:val="Hyperlink"/>
                  <w:rFonts w:cs="Arial"/>
                  <w:iCs/>
                  <w:szCs w:val="28"/>
                  <w:lang w:val="en-US"/>
                </w:rPr>
                <w:t>Oral language interventions | Teaching and Learning Toolkit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26A90" w14:textId="3BC68012" w:rsidR="00E976A0" w:rsidRPr="00060F23" w:rsidRDefault="00E976A0" w:rsidP="00E976A0">
            <w:pPr>
              <w:pStyle w:val="TableRowCentered"/>
              <w:jc w:val="left"/>
              <w:rPr>
                <w:rFonts w:cs="Arial"/>
              </w:rPr>
            </w:pPr>
            <w:r w:rsidRPr="00060F23">
              <w:rPr>
                <w:rFonts w:cs="Arial"/>
              </w:rPr>
              <w:t>1</w:t>
            </w:r>
            <w:r w:rsidR="0094642F">
              <w:rPr>
                <w:rFonts w:cs="Arial"/>
              </w:rPr>
              <w:t>,2</w:t>
            </w:r>
          </w:p>
        </w:tc>
      </w:tr>
      <w:tr w:rsidR="00411E09" w14:paraId="6F1835C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95D78" w14:textId="77777777" w:rsidR="00411E09" w:rsidRPr="00411E09" w:rsidRDefault="00411E09" w:rsidP="00E976A0">
            <w:pPr>
              <w:pStyle w:val="NoSpacing"/>
              <w:rPr>
                <w:sz w:val="24"/>
                <w:szCs w:val="24"/>
              </w:rPr>
            </w:pPr>
            <w:r w:rsidRPr="00411E09">
              <w:rPr>
                <w:sz w:val="24"/>
                <w:szCs w:val="24"/>
              </w:rPr>
              <w:t>Further training for all staff on our chosen</w:t>
            </w:r>
          </w:p>
          <w:p w14:paraId="25A5DBFB" w14:textId="77777777" w:rsidR="00411E09" w:rsidRDefault="00411E09" w:rsidP="00E976A0">
            <w:pPr>
              <w:pStyle w:val="NoSpacing"/>
              <w:rPr>
                <w:sz w:val="24"/>
                <w:szCs w:val="24"/>
              </w:rPr>
            </w:pPr>
            <w:r w:rsidRPr="00411E09">
              <w:rPr>
                <w:sz w:val="24"/>
                <w:szCs w:val="24"/>
              </w:rPr>
              <w:t xml:space="preserve">DfE validated </w:t>
            </w:r>
          </w:p>
          <w:p w14:paraId="5C5E6385" w14:textId="0F9D6E87" w:rsidR="00411E09" w:rsidRPr="00060F23" w:rsidRDefault="00411E09" w:rsidP="00E976A0">
            <w:pPr>
              <w:pStyle w:val="NoSpacing"/>
              <w:rPr>
                <w:rFonts w:cs="Arial"/>
                <w:iCs/>
                <w:sz w:val="24"/>
                <w:szCs w:val="24"/>
                <w:lang w:val="en-US"/>
              </w:rPr>
            </w:pPr>
            <w:r w:rsidRPr="00411E09">
              <w:rPr>
                <w:sz w:val="24"/>
                <w:szCs w:val="24"/>
              </w:rPr>
              <w:t xml:space="preserve">Systematic Synthetic Phonics programme , Little Wandle to secure stronger phonics teaching for all pupils including </w:t>
            </w:r>
            <w:r>
              <w:rPr>
                <w:sz w:val="24"/>
                <w:szCs w:val="24"/>
              </w:rPr>
              <w:t xml:space="preserve">disadvantaged pupils and those </w:t>
            </w:r>
            <w:r w:rsidRPr="00411E09">
              <w:rPr>
                <w:sz w:val="24"/>
                <w:szCs w:val="24"/>
              </w:rPr>
              <w:t>in Key stage 2 who need to catch up.</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C8DEA" w14:textId="2CE84741" w:rsidR="0076650E" w:rsidRDefault="000316D8" w:rsidP="00E976A0">
            <w:pPr>
              <w:autoSpaceDN/>
              <w:spacing w:before="60" w:after="60"/>
            </w:pPr>
            <w:r>
              <w:t>Phonics approaches have a strong evidence base that indicates a positive impact on the accuracy of word reading, particularly for disadvantaged pupils:</w:t>
            </w:r>
          </w:p>
          <w:p w14:paraId="5170E242" w14:textId="77777777" w:rsidR="0076650E" w:rsidRDefault="0076650E" w:rsidP="00E976A0">
            <w:pPr>
              <w:autoSpaceDN/>
              <w:spacing w:before="60" w:after="60"/>
            </w:pPr>
          </w:p>
          <w:p w14:paraId="2C1CBC16" w14:textId="1ACD4F88" w:rsidR="00411E09" w:rsidRPr="00060F23" w:rsidRDefault="00B633DA" w:rsidP="00E976A0">
            <w:pPr>
              <w:autoSpaceDN/>
              <w:spacing w:before="60" w:after="60"/>
              <w:rPr>
                <w:rFonts w:cs="Arial"/>
                <w:color w:val="auto"/>
              </w:rPr>
            </w:pPr>
            <w:hyperlink r:id="rId13" w:history="1">
              <w:r w:rsidRPr="00B633DA">
                <w:rPr>
                  <w:color w:val="0000FF"/>
                  <w:u w:val="single"/>
                </w:rPr>
                <w:t>Phonics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85881" w14:textId="03ECE7CB" w:rsidR="00411E09" w:rsidRPr="00060F23" w:rsidRDefault="0094642F" w:rsidP="0094642F">
            <w:pPr>
              <w:pStyle w:val="TableRowCentered"/>
              <w:ind w:left="0"/>
              <w:jc w:val="left"/>
              <w:rPr>
                <w:rFonts w:cs="Arial"/>
              </w:rPr>
            </w:pPr>
            <w:r>
              <w:rPr>
                <w:rFonts w:cs="Arial"/>
              </w:rPr>
              <w:t>1,2 and 5</w:t>
            </w:r>
          </w:p>
        </w:tc>
      </w:tr>
      <w:tr w:rsidR="00E976A0" w14:paraId="5A98BCC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8AE99" w14:textId="77777777" w:rsidR="00E976A0" w:rsidRPr="00D301D8" w:rsidRDefault="00E976A0" w:rsidP="00E976A0">
            <w:pPr>
              <w:autoSpaceDN/>
              <w:spacing w:before="60" w:after="0"/>
              <w:rPr>
                <w:rFonts w:cs="Arial"/>
                <w:iCs/>
                <w:color w:val="auto"/>
                <w:lang w:val="en-US" w:eastAsia="en-US"/>
              </w:rPr>
            </w:pPr>
            <w:r w:rsidRPr="00D301D8">
              <w:rPr>
                <w:rFonts w:cs="Arial"/>
                <w:iCs/>
                <w:color w:val="auto"/>
                <w:lang w:val="en-US" w:eastAsia="en-US"/>
              </w:rPr>
              <w:t>Improve the quality of social and emotional (SEL) learning.</w:t>
            </w:r>
          </w:p>
          <w:p w14:paraId="778F0C67" w14:textId="77777777" w:rsidR="00E976A0" w:rsidRPr="00D301D8" w:rsidRDefault="00E976A0" w:rsidP="00E976A0">
            <w:pPr>
              <w:autoSpaceDN/>
              <w:spacing w:after="0"/>
              <w:rPr>
                <w:rFonts w:cs="Arial"/>
                <w:iCs/>
                <w:color w:val="auto"/>
                <w:lang w:val="en-US" w:eastAsia="en-US"/>
              </w:rPr>
            </w:pPr>
          </w:p>
          <w:p w14:paraId="092E2C02" w14:textId="77777777" w:rsidR="00E976A0" w:rsidRPr="00D301D8" w:rsidRDefault="00E976A0" w:rsidP="00E976A0">
            <w:pPr>
              <w:pStyle w:val="NoSpacing"/>
              <w:rPr>
                <w:rFonts w:cs="Arial"/>
                <w:iCs/>
                <w:sz w:val="24"/>
                <w:szCs w:val="24"/>
                <w:lang w:val="en-US" w:eastAsia="en-US"/>
              </w:rPr>
            </w:pPr>
            <w:r w:rsidRPr="00D301D8">
              <w:rPr>
                <w:rFonts w:cs="Arial"/>
                <w:iCs/>
                <w:sz w:val="24"/>
                <w:szCs w:val="24"/>
                <w:lang w:val="en-US" w:eastAsia="en-US"/>
              </w:rPr>
              <w:t xml:space="preserve">SEL approaches will be embedded into routine educational practices and supported by </w:t>
            </w:r>
          </w:p>
          <w:p w14:paraId="7E789251" w14:textId="77777777" w:rsidR="00E976A0" w:rsidRPr="00D301D8" w:rsidRDefault="00E976A0" w:rsidP="00E976A0">
            <w:pPr>
              <w:pStyle w:val="NoSpacing"/>
              <w:rPr>
                <w:rFonts w:cs="Arial"/>
                <w:iCs/>
                <w:sz w:val="24"/>
                <w:szCs w:val="24"/>
                <w:lang w:val="en-US" w:eastAsia="en-US"/>
              </w:rPr>
            </w:pPr>
            <w:r w:rsidRPr="00D301D8">
              <w:rPr>
                <w:rFonts w:cs="Arial"/>
                <w:iCs/>
                <w:sz w:val="24"/>
                <w:szCs w:val="24"/>
                <w:lang w:val="en-US" w:eastAsia="en-US"/>
              </w:rPr>
              <w:t xml:space="preserve">professional </w:t>
            </w:r>
          </w:p>
          <w:p w14:paraId="6A1EAB90" w14:textId="77777777" w:rsidR="00E976A0" w:rsidRPr="00D301D8" w:rsidRDefault="00E976A0" w:rsidP="00E976A0">
            <w:pPr>
              <w:pStyle w:val="NoSpacing"/>
              <w:rPr>
                <w:rFonts w:cs="Arial"/>
                <w:iCs/>
                <w:sz w:val="24"/>
                <w:szCs w:val="24"/>
                <w:lang w:val="en-US" w:eastAsia="en-US"/>
              </w:rPr>
            </w:pPr>
            <w:r w:rsidRPr="00D301D8">
              <w:rPr>
                <w:rFonts w:cs="Arial"/>
                <w:iCs/>
                <w:sz w:val="24"/>
                <w:szCs w:val="24"/>
                <w:lang w:val="en-US" w:eastAsia="en-US"/>
              </w:rPr>
              <w:t xml:space="preserve">development and </w:t>
            </w:r>
          </w:p>
          <w:p w14:paraId="25AA14D4" w14:textId="72921AE5" w:rsidR="00E976A0" w:rsidRPr="00D301D8" w:rsidRDefault="00E976A0" w:rsidP="00E976A0">
            <w:pPr>
              <w:pStyle w:val="NoSpacing"/>
              <w:rPr>
                <w:rFonts w:cs="Arial"/>
                <w:iCs/>
                <w:sz w:val="24"/>
                <w:szCs w:val="24"/>
                <w:lang w:val="en-US"/>
              </w:rPr>
            </w:pPr>
            <w:r w:rsidRPr="00D301D8">
              <w:rPr>
                <w:rFonts w:cs="Arial"/>
                <w:iCs/>
                <w:sz w:val="24"/>
                <w:szCs w:val="24"/>
                <w:lang w:val="en-US" w:eastAsia="en-US"/>
              </w:rPr>
              <w:t>training for staff.</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9F7DB" w14:textId="77777777" w:rsidR="00E976A0" w:rsidRPr="00D301D8" w:rsidRDefault="00E976A0" w:rsidP="00E976A0">
            <w:pPr>
              <w:pStyle w:val="TableRowCentered"/>
              <w:ind w:left="0" w:right="0"/>
              <w:jc w:val="left"/>
              <w:rPr>
                <w:rFonts w:cs="Arial"/>
                <w:color w:val="auto"/>
                <w:szCs w:val="24"/>
              </w:rPr>
            </w:pPr>
            <w:r w:rsidRPr="00D301D8">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08EDCF01" w14:textId="2AC640A3" w:rsidR="00E976A0" w:rsidRPr="00D301D8" w:rsidRDefault="00E976A0" w:rsidP="00E976A0">
            <w:pPr>
              <w:autoSpaceDN/>
              <w:spacing w:before="60" w:after="60"/>
              <w:rPr>
                <w:rFonts w:cs="Arial"/>
                <w:color w:val="auto"/>
              </w:rPr>
            </w:pPr>
            <w:hyperlink r:id="rId14" w:history="1">
              <w:r w:rsidRPr="00D301D8">
                <w:rPr>
                  <w:rStyle w:val="Hyperlink"/>
                  <w:rFonts w:cs="Arial"/>
                  <w:iCs/>
                  <w:szCs w:val="28"/>
                  <w:lang w:val="en-US"/>
                </w:rPr>
                <w:t>Improving_Social_and_Emotional_ Learning</w:t>
              </w:r>
            </w:hyperlink>
            <w:r w:rsidRPr="00D301D8">
              <w:rPr>
                <w:rStyle w:val="Hyperlink"/>
                <w:rFonts w:cs="Arial"/>
                <w:iCs/>
                <w:szCs w:val="28"/>
                <w:lang w:val="en-US"/>
              </w:rPr>
              <w:t xml:space="preserve"> in Primary Schools |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AFF81" w14:textId="50E562C1" w:rsidR="00E976A0" w:rsidRPr="00D301D8" w:rsidRDefault="00E976A0" w:rsidP="00E976A0">
            <w:pPr>
              <w:pStyle w:val="TableRowCentered"/>
              <w:jc w:val="left"/>
              <w:rPr>
                <w:rFonts w:cs="Arial"/>
              </w:rPr>
            </w:pPr>
            <w:r w:rsidRPr="00D301D8">
              <w:rPr>
                <w:rFonts w:cs="Arial"/>
              </w:rPr>
              <w:t>3</w:t>
            </w:r>
          </w:p>
        </w:tc>
      </w:tr>
    </w:tbl>
    <w:p w14:paraId="2A7D5522" w14:textId="77777777" w:rsidR="00E66558" w:rsidRDefault="00E66558" w:rsidP="00ED5108"/>
    <w:p w14:paraId="2A7D5523" w14:textId="77E23219"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structured interventions)</w:t>
      </w:r>
    </w:p>
    <w:p w14:paraId="2A7D5524" w14:textId="6F1307F3" w:rsidR="00E66558" w:rsidRDefault="009D71E8">
      <w:r>
        <w:t xml:space="preserve">Budgeted cost: </w:t>
      </w:r>
      <w:r w:rsidR="003F78D6">
        <w:t>£4</w:t>
      </w:r>
      <w:r w:rsidR="004B3862">
        <w:t>6,460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79E94" w14:textId="44B59FC0" w:rsidR="00FF1269" w:rsidRPr="00D301D8" w:rsidRDefault="0010004D" w:rsidP="00FF1269">
            <w:pPr>
              <w:rPr>
                <w:rFonts w:cs="Arial"/>
              </w:rPr>
            </w:pPr>
            <w:r w:rsidRPr="00D301D8">
              <w:rPr>
                <w:rFonts w:cs="Arial"/>
              </w:rPr>
              <w:t xml:space="preserve">SLT and SENDCo to meet regularly to </w:t>
            </w:r>
            <w:r w:rsidRPr="00D301D8">
              <w:rPr>
                <w:rFonts w:cs="Arial"/>
              </w:rPr>
              <w:lastRenderedPageBreak/>
              <w:t>identify those children who are both PP and SEND and ensure needs are being met.</w:t>
            </w:r>
            <w:r w:rsidR="00FF1269" w:rsidRPr="00D301D8">
              <w:rPr>
                <w:rFonts w:cs="Arial"/>
              </w:rPr>
              <w:t xml:space="preserve"> Use of Edu key- timetabled review meetings of IEPs.</w:t>
            </w:r>
          </w:p>
          <w:p w14:paraId="2A7D5529" w14:textId="072C8CC6" w:rsidR="00E66558" w:rsidRPr="00D301D8" w:rsidRDefault="00FF1269" w:rsidP="006F2AED">
            <w:pPr>
              <w:rPr>
                <w:rFonts w:cs="Arial"/>
              </w:rPr>
            </w:pPr>
            <w:r w:rsidRPr="00D301D8">
              <w:rPr>
                <w:rFonts w:cs="Arial"/>
              </w:rPr>
              <w:t>Provision Mapping -recorded on Insight. SENDCo to identify support required from external providers and submit referrals wherever needed</w:t>
            </w:r>
            <w:r w:rsidR="00623F26" w:rsidRPr="00D301D8">
              <w:rPr>
                <w:rFonts w:cs="Arial"/>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2851B" w14:textId="77777777" w:rsidR="00E14FB9" w:rsidRPr="00D301D8" w:rsidRDefault="00E14FB9" w:rsidP="00E14FB9">
            <w:pPr>
              <w:rPr>
                <w:rFonts w:cs="Arial"/>
                <w:shd w:val="clear" w:color="auto" w:fill="FFFFFF"/>
              </w:rPr>
            </w:pPr>
            <w:r w:rsidRPr="00D301D8">
              <w:rPr>
                <w:rFonts w:cs="Arial"/>
                <w:shd w:val="clear" w:color="auto" w:fill="FFFFFF"/>
              </w:rPr>
              <w:lastRenderedPageBreak/>
              <w:t xml:space="preserve">Pupils with Special Educational Needs and Disability (SEND) have </w:t>
            </w:r>
            <w:r w:rsidRPr="00D301D8">
              <w:rPr>
                <w:rFonts w:cs="Arial"/>
                <w:shd w:val="clear" w:color="auto" w:fill="FFFFFF"/>
              </w:rPr>
              <w:lastRenderedPageBreak/>
              <w:t>the greatest need for excellent teaching and are entitled to provision that supports achievement at, and enjoyment of, school. The attainment gap between pupils with SEND and their peers is twice as big as the gap between pupils eligible for free school meals and their peers. However, pupils with SEND are also more than twice as likely to be eligible for free school meals. (EEF)</w:t>
            </w:r>
          </w:p>
          <w:p w14:paraId="2A7D552A" w14:textId="29863D9C" w:rsidR="00E66558" w:rsidRPr="00D301D8" w:rsidRDefault="00E66558">
            <w:pPr>
              <w:pStyle w:val="TableRowCentered"/>
              <w:jc w:val="left"/>
              <w:rPr>
                <w:rFonts w:cs="Arial"/>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5F033FA1" w:rsidR="00E66558" w:rsidRPr="00D301D8" w:rsidRDefault="00D41E94">
            <w:pPr>
              <w:pStyle w:val="TableRowCentered"/>
              <w:jc w:val="left"/>
              <w:rPr>
                <w:rFonts w:cs="Arial"/>
                <w:sz w:val="22"/>
              </w:rPr>
            </w:pPr>
            <w:r w:rsidRPr="00D301D8">
              <w:rPr>
                <w:rFonts w:cs="Arial"/>
                <w:sz w:val="22"/>
              </w:rPr>
              <w:lastRenderedPageBreak/>
              <w:t xml:space="preserve">1, </w:t>
            </w:r>
            <w:r w:rsidR="00272430" w:rsidRPr="00D301D8">
              <w:rPr>
                <w:rFonts w:cs="Arial"/>
                <w:sz w:val="22"/>
              </w:rPr>
              <w:t>2</w:t>
            </w:r>
          </w:p>
        </w:tc>
      </w:tr>
      <w:tr w:rsidR="00C63831" w14:paraId="7A96301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73F10" w14:textId="77777777" w:rsidR="00ED69EA" w:rsidRPr="0076359B" w:rsidRDefault="00C63831" w:rsidP="00C63831">
            <w:pPr>
              <w:pStyle w:val="NoSpacing"/>
              <w:rPr>
                <w:rFonts w:cs="Arial"/>
                <w:sz w:val="24"/>
                <w:szCs w:val="24"/>
              </w:rPr>
            </w:pPr>
            <w:r w:rsidRPr="0076359B">
              <w:rPr>
                <w:rFonts w:cs="Arial"/>
                <w:sz w:val="24"/>
                <w:szCs w:val="24"/>
              </w:rPr>
              <w:t xml:space="preserve">All classes to have teaching assistant </w:t>
            </w:r>
          </w:p>
          <w:p w14:paraId="34BEA086" w14:textId="77777777" w:rsidR="00E30C1B" w:rsidRDefault="00C63831" w:rsidP="00C63831">
            <w:pPr>
              <w:pStyle w:val="NoSpacing"/>
              <w:rPr>
                <w:rFonts w:cs="Arial"/>
                <w:sz w:val="24"/>
                <w:szCs w:val="24"/>
              </w:rPr>
            </w:pPr>
            <w:r w:rsidRPr="0076359B">
              <w:rPr>
                <w:rFonts w:cs="Arial"/>
                <w:sz w:val="24"/>
                <w:szCs w:val="24"/>
              </w:rPr>
              <w:t xml:space="preserve">support to improve </w:t>
            </w:r>
          </w:p>
          <w:p w14:paraId="55331F9A" w14:textId="260BFB91" w:rsidR="007271F0" w:rsidRPr="0076359B" w:rsidRDefault="00C63831" w:rsidP="00C63831">
            <w:pPr>
              <w:pStyle w:val="NoSpacing"/>
              <w:rPr>
                <w:rFonts w:cs="Arial"/>
                <w:sz w:val="24"/>
                <w:szCs w:val="24"/>
              </w:rPr>
            </w:pPr>
            <w:r w:rsidRPr="0076359B">
              <w:rPr>
                <w:rFonts w:cs="Arial"/>
                <w:sz w:val="24"/>
                <w:szCs w:val="24"/>
              </w:rPr>
              <w:t xml:space="preserve">outcomes for </w:t>
            </w:r>
          </w:p>
          <w:p w14:paraId="6EC01A4D" w14:textId="4DDA9280" w:rsidR="00C63831" w:rsidRPr="0076359B" w:rsidRDefault="00C63831" w:rsidP="00C63831">
            <w:pPr>
              <w:pStyle w:val="NoSpacing"/>
              <w:rPr>
                <w:rFonts w:cs="Arial"/>
                <w:sz w:val="24"/>
                <w:szCs w:val="24"/>
              </w:rPr>
            </w:pPr>
            <w:r w:rsidRPr="0076359B">
              <w:rPr>
                <w:rFonts w:cs="Arial"/>
                <w:sz w:val="24"/>
                <w:szCs w:val="24"/>
              </w:rPr>
              <w:t>PP children. There has been a staff</w:t>
            </w:r>
          </w:p>
          <w:p w14:paraId="5ABDF97A" w14:textId="77777777" w:rsidR="00C63831" w:rsidRPr="0076359B" w:rsidRDefault="00C63831" w:rsidP="00C63831">
            <w:pPr>
              <w:pStyle w:val="NoSpacing"/>
              <w:rPr>
                <w:rFonts w:cs="Arial"/>
                <w:sz w:val="24"/>
                <w:szCs w:val="24"/>
              </w:rPr>
            </w:pPr>
            <w:r w:rsidRPr="0076359B">
              <w:rPr>
                <w:rFonts w:cs="Arial"/>
                <w:sz w:val="24"/>
                <w:szCs w:val="24"/>
              </w:rPr>
              <w:t xml:space="preserve">re-structure, however it has been ensured that provision is allocated to need. </w:t>
            </w:r>
          </w:p>
          <w:p w14:paraId="4518A0C0" w14:textId="77777777" w:rsidR="00C63831" w:rsidRPr="0076359B" w:rsidRDefault="00C63831" w:rsidP="00C63831">
            <w:pPr>
              <w:pStyle w:val="NoSpacing"/>
              <w:rPr>
                <w:rFonts w:cs="Arial"/>
                <w:sz w:val="24"/>
                <w:szCs w:val="24"/>
              </w:rPr>
            </w:pPr>
            <w:r w:rsidRPr="0076359B">
              <w:rPr>
                <w:rFonts w:cs="Arial"/>
                <w:sz w:val="24"/>
                <w:szCs w:val="24"/>
              </w:rPr>
              <w:t>BQ and SR to monitor, coach and support teaching and learning throughout the school.</w:t>
            </w:r>
          </w:p>
          <w:p w14:paraId="5CDBC103" w14:textId="77777777" w:rsidR="00C63831" w:rsidRPr="0076359B" w:rsidRDefault="00C63831" w:rsidP="00C63831">
            <w:pPr>
              <w:pStyle w:val="NoSpacing"/>
              <w:rPr>
                <w:rFonts w:cs="Arial"/>
                <w:sz w:val="24"/>
                <w:szCs w:val="24"/>
              </w:rPr>
            </w:pPr>
          </w:p>
          <w:p w14:paraId="37D96572" w14:textId="77777777" w:rsidR="00991EE0" w:rsidRPr="0076359B" w:rsidRDefault="00C63831" w:rsidP="00C63831">
            <w:pPr>
              <w:pStyle w:val="NoSpacing"/>
              <w:rPr>
                <w:rFonts w:cs="Arial"/>
                <w:sz w:val="24"/>
                <w:szCs w:val="24"/>
              </w:rPr>
            </w:pPr>
            <w:r w:rsidRPr="0076359B">
              <w:rPr>
                <w:rFonts w:cs="Arial"/>
                <w:sz w:val="24"/>
                <w:szCs w:val="24"/>
              </w:rPr>
              <w:t xml:space="preserve">Subject leaders to </w:t>
            </w:r>
          </w:p>
          <w:p w14:paraId="75887311" w14:textId="3D065AE2" w:rsidR="00C63831" w:rsidRPr="0076359B" w:rsidRDefault="00C63831" w:rsidP="00C63831">
            <w:pPr>
              <w:pStyle w:val="NoSpacing"/>
              <w:rPr>
                <w:rFonts w:cs="Arial"/>
                <w:sz w:val="24"/>
                <w:szCs w:val="24"/>
              </w:rPr>
            </w:pPr>
            <w:r w:rsidRPr="0076359B">
              <w:rPr>
                <w:rFonts w:cs="Arial"/>
                <w:sz w:val="24"/>
                <w:szCs w:val="24"/>
              </w:rPr>
              <w:t xml:space="preserve">monitor and continually improve teaching, learning and progress in their subject areas. </w:t>
            </w:r>
          </w:p>
          <w:p w14:paraId="5629F923" w14:textId="77777777" w:rsidR="00C63831" w:rsidRPr="00F908BF" w:rsidRDefault="00C63831" w:rsidP="00807B9B">
            <w:pPr>
              <w:spacing w:after="40"/>
              <w:rPr>
                <w:rFonts w:ascii="Lato Light" w:hAnsi="Lato Light"/>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87CFB" w14:textId="77777777" w:rsidR="00FC6B41" w:rsidRPr="0076359B" w:rsidRDefault="00FC6B41" w:rsidP="00FC6B41">
            <w:pPr>
              <w:rPr>
                <w:rFonts w:cs="Arial"/>
                <w:i/>
                <w:shd w:val="clear" w:color="auto" w:fill="FFFFFF"/>
              </w:rPr>
            </w:pPr>
            <w:r w:rsidRPr="0076359B">
              <w:rPr>
                <w:rFonts w:eastAsia="Calibri" w:cs="Arial"/>
                <w:lang w:eastAsia="en-US"/>
              </w:rPr>
              <w:t>“</w:t>
            </w:r>
            <w:r w:rsidRPr="0076359B">
              <w:rPr>
                <w:rFonts w:cs="Arial"/>
                <w:shd w:val="clear" w:color="auto" w:fill="FFFFFF"/>
              </w:rPr>
              <w:t xml:space="preserve">School leaders should systematically review the roles of both teachers and TAs and take a wider view of how TAs can support learning and </w:t>
            </w:r>
            <w:r w:rsidRPr="00261956">
              <w:rPr>
                <w:rFonts w:cs="Arial"/>
                <w:shd w:val="clear" w:color="auto" w:fill="FFFFFF"/>
              </w:rPr>
              <w:t>improve attainment throughout the school.” – EEF – Making Best use of TAs 2018</w:t>
            </w:r>
          </w:p>
          <w:p w14:paraId="23478BAF" w14:textId="77777777" w:rsidR="00C63831" w:rsidRPr="00F908BF" w:rsidRDefault="00C63831" w:rsidP="00906EE4">
            <w:pPr>
              <w:rPr>
                <w:rFonts w:ascii="Lato Light" w:hAnsi="Lato Light"/>
                <w:sz w:val="20"/>
                <w:szCs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757F" w14:textId="05364297" w:rsidR="00C63831" w:rsidRPr="0076359B" w:rsidRDefault="00ED69EA">
            <w:pPr>
              <w:pStyle w:val="TableRowCentered"/>
              <w:jc w:val="left"/>
              <w:rPr>
                <w:rFonts w:cs="Arial"/>
                <w:szCs w:val="24"/>
              </w:rPr>
            </w:pPr>
            <w:r w:rsidRPr="0076359B">
              <w:rPr>
                <w:rFonts w:cs="Arial"/>
                <w:szCs w:val="24"/>
              </w:rPr>
              <w:t>1,2 and 5</w:t>
            </w:r>
          </w:p>
        </w:tc>
      </w:tr>
      <w:tr w:rsidR="00A50085" w14:paraId="189D127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D9B43" w14:textId="77777777" w:rsidR="006D2288" w:rsidRPr="0076359B" w:rsidRDefault="0079128D" w:rsidP="00C63831">
            <w:pPr>
              <w:pStyle w:val="NoSpacing"/>
              <w:rPr>
                <w:rFonts w:cs="Arial"/>
                <w:sz w:val="24"/>
                <w:szCs w:val="24"/>
              </w:rPr>
            </w:pPr>
            <w:r w:rsidRPr="0076359B">
              <w:rPr>
                <w:rFonts w:cs="Arial"/>
                <w:sz w:val="24"/>
                <w:szCs w:val="24"/>
              </w:rPr>
              <w:t xml:space="preserve">Additional phonics </w:t>
            </w:r>
          </w:p>
          <w:p w14:paraId="4B92C20A" w14:textId="77777777" w:rsidR="006D2288" w:rsidRPr="0076359B" w:rsidRDefault="0079128D" w:rsidP="00C63831">
            <w:pPr>
              <w:pStyle w:val="NoSpacing"/>
              <w:rPr>
                <w:rFonts w:cs="Arial"/>
                <w:sz w:val="24"/>
                <w:szCs w:val="24"/>
              </w:rPr>
            </w:pPr>
            <w:r w:rsidRPr="0076359B">
              <w:rPr>
                <w:rFonts w:cs="Arial"/>
                <w:sz w:val="24"/>
                <w:szCs w:val="24"/>
              </w:rPr>
              <w:t xml:space="preserve">sessions targeted at disadvantaged pupils who require further phonics support. </w:t>
            </w:r>
          </w:p>
          <w:p w14:paraId="589F2D92" w14:textId="46A7B4C0" w:rsidR="00A50085" w:rsidRPr="006D2288" w:rsidRDefault="0079128D" w:rsidP="00C63831">
            <w:pPr>
              <w:pStyle w:val="NoSpacing"/>
              <w:rPr>
                <w:rFonts w:ascii="Lato Light" w:hAnsi="Lato Light"/>
                <w:sz w:val="24"/>
                <w:szCs w:val="24"/>
              </w:rPr>
            </w:pPr>
            <w:r w:rsidRPr="0076359B">
              <w:rPr>
                <w:rFonts w:cs="Arial"/>
                <w:sz w:val="24"/>
                <w:szCs w:val="24"/>
              </w:rPr>
              <w:t xml:space="preserve">This will be delivered in collaboration with our </w:t>
            </w:r>
            <w:r w:rsidR="001D44EA" w:rsidRPr="0076359B">
              <w:rPr>
                <w:rFonts w:cs="Arial"/>
                <w:sz w:val="24"/>
                <w:szCs w:val="24"/>
              </w:rPr>
              <w:t>trust.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0995C" w14:textId="77777777" w:rsidR="006D2288" w:rsidRPr="0076359B" w:rsidRDefault="006D2288" w:rsidP="006D2288">
            <w:pPr>
              <w:pStyle w:val="TableRowCentered"/>
              <w:ind w:left="0" w:right="0"/>
              <w:jc w:val="left"/>
              <w:rPr>
                <w:rFonts w:cs="Arial"/>
                <w:color w:val="auto"/>
                <w:szCs w:val="24"/>
              </w:rPr>
            </w:pPr>
            <w:r w:rsidRPr="0076359B">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6DA42110" w14:textId="41A81FAF" w:rsidR="00A50085" w:rsidRPr="004935EC" w:rsidRDefault="006D2288" w:rsidP="006D2288">
            <w:pPr>
              <w:rPr>
                <w:rFonts w:ascii="Lato Light" w:eastAsia="Calibri" w:hAnsi="Lato Light"/>
                <w:lang w:eastAsia="en-US"/>
              </w:rPr>
            </w:pPr>
            <w:hyperlink r:id="rId15" w:history="1">
              <w:r w:rsidRPr="0076359B">
                <w:rPr>
                  <w:rStyle w:val="Hyperlink"/>
                  <w:rFonts w:cs="Arial"/>
                  <w:iCs/>
                  <w:szCs w:val="28"/>
                  <w:lang w:val="en-US"/>
                </w:rPr>
                <w:t>Phonics | Teaching and Learning Toolkit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559A6" w14:textId="5EFD5893" w:rsidR="00A50085" w:rsidRPr="0076359B" w:rsidRDefault="00E30C1B">
            <w:pPr>
              <w:pStyle w:val="TableRowCentered"/>
              <w:jc w:val="left"/>
              <w:rPr>
                <w:rFonts w:cs="Arial"/>
                <w:szCs w:val="24"/>
              </w:rPr>
            </w:pPr>
            <w:r>
              <w:rPr>
                <w:rFonts w:cs="Arial"/>
                <w:szCs w:val="24"/>
              </w:rPr>
              <w:t>1,</w:t>
            </w:r>
            <w:r w:rsidR="00332449" w:rsidRPr="0076359B">
              <w:rPr>
                <w:rFonts w:cs="Arial"/>
                <w:szCs w:val="24"/>
              </w:rPr>
              <w:t>2,5</w:t>
            </w:r>
          </w:p>
        </w:tc>
      </w:tr>
      <w:tr w:rsidR="006658FB" w14:paraId="7C1B89C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95DB2" w14:textId="77777777" w:rsidR="006658FB" w:rsidRPr="006658FB" w:rsidRDefault="006658FB" w:rsidP="00C63831">
            <w:pPr>
              <w:pStyle w:val="NoSpacing"/>
              <w:rPr>
                <w:sz w:val="24"/>
                <w:szCs w:val="24"/>
              </w:rPr>
            </w:pPr>
            <w:r w:rsidRPr="006658FB">
              <w:rPr>
                <w:sz w:val="24"/>
                <w:szCs w:val="24"/>
              </w:rPr>
              <w:t xml:space="preserve">To continue to foster a love of reading though </w:t>
            </w:r>
          </w:p>
          <w:p w14:paraId="435BC235" w14:textId="77777777" w:rsidR="00594632" w:rsidRDefault="006658FB" w:rsidP="00C63831">
            <w:pPr>
              <w:pStyle w:val="NoSpacing"/>
              <w:rPr>
                <w:sz w:val="24"/>
                <w:szCs w:val="24"/>
              </w:rPr>
            </w:pPr>
            <w:r w:rsidRPr="006658FB">
              <w:rPr>
                <w:sz w:val="24"/>
                <w:szCs w:val="24"/>
              </w:rPr>
              <w:t xml:space="preserve">enrichment </w:t>
            </w:r>
          </w:p>
          <w:p w14:paraId="30B9CC16" w14:textId="12A08509" w:rsidR="006658FB" w:rsidRPr="0076359B" w:rsidRDefault="006658FB" w:rsidP="00C63831">
            <w:pPr>
              <w:pStyle w:val="NoSpacing"/>
              <w:rPr>
                <w:rFonts w:cs="Arial"/>
                <w:sz w:val="24"/>
                <w:szCs w:val="24"/>
              </w:rPr>
            </w:pPr>
            <w:r w:rsidRPr="006658FB">
              <w:rPr>
                <w:sz w:val="24"/>
                <w:szCs w:val="24"/>
              </w:rPr>
              <w:lastRenderedPageBreak/>
              <w:t>opportunities, i</w:t>
            </w:r>
            <w:r w:rsidR="00594632">
              <w:rPr>
                <w:sz w:val="24"/>
                <w:szCs w:val="24"/>
              </w:rPr>
              <w:t>ncluding librarian roles, Reading Buddies and lunchtime Story club.</w:t>
            </w:r>
            <w:r w:rsidRPr="006658FB">
              <w:rPr>
                <w:sz w:val="24"/>
                <w:szCs w:val="24"/>
              </w:rPr>
              <w:t xml:space="preserv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73C96" w14:textId="3256C04E" w:rsidR="006658FB" w:rsidRPr="0076359B" w:rsidRDefault="00252A5A" w:rsidP="006D2288">
            <w:pPr>
              <w:pStyle w:val="TableRowCentered"/>
              <w:ind w:left="0" w:right="0"/>
              <w:jc w:val="left"/>
              <w:rPr>
                <w:rFonts w:cs="Arial"/>
                <w:color w:val="auto"/>
                <w:szCs w:val="24"/>
              </w:rPr>
            </w:pPr>
            <w:hyperlink r:id="rId16" w:history="1">
              <w:r w:rsidRPr="00252A5A">
                <w:rPr>
                  <w:color w:val="0000FF"/>
                  <w:szCs w:val="24"/>
                  <w:u w:val="single"/>
                </w:rPr>
                <w:t>The reading framework</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C231A" w14:textId="383BDE7D" w:rsidR="006658FB" w:rsidRPr="0076359B" w:rsidRDefault="00E30C1B">
            <w:pPr>
              <w:pStyle w:val="TableRowCentered"/>
              <w:jc w:val="left"/>
              <w:rPr>
                <w:rFonts w:cs="Arial"/>
                <w:szCs w:val="24"/>
              </w:rPr>
            </w:pPr>
            <w:r>
              <w:rPr>
                <w:rFonts w:cs="Arial"/>
                <w:szCs w:val="24"/>
              </w:rPr>
              <w:t>5</w:t>
            </w:r>
          </w:p>
        </w:tc>
      </w:tr>
      <w:tr w:rsidR="00CD58F9" w14:paraId="13F94B6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83CF" w14:textId="54D147B9" w:rsidR="00EB0F31" w:rsidRPr="0076359B" w:rsidRDefault="00D200E7" w:rsidP="00EB0F31">
            <w:pPr>
              <w:pStyle w:val="TableRow"/>
              <w:spacing w:after="120"/>
              <w:ind w:left="0" w:right="0"/>
              <w:rPr>
                <w:rFonts w:cs="Arial"/>
                <w:iCs/>
                <w:color w:val="auto"/>
                <w:lang w:val="en-US"/>
              </w:rPr>
            </w:pPr>
            <w:r w:rsidRPr="0076359B">
              <w:rPr>
                <w:rFonts w:cs="Arial"/>
                <w:iCs/>
                <w:color w:val="auto"/>
                <w:lang w:val="en-US"/>
              </w:rPr>
              <w:t>One-to-one</w:t>
            </w:r>
            <w:r w:rsidR="00EB0F31" w:rsidRPr="0076359B">
              <w:rPr>
                <w:rFonts w:cs="Arial"/>
                <w:iCs/>
                <w:color w:val="auto"/>
                <w:lang w:val="en-US"/>
              </w:rPr>
              <w:t xml:space="preserve"> and small group </w:t>
            </w:r>
            <w:r w:rsidR="002172A9" w:rsidRPr="0076359B">
              <w:rPr>
                <w:rFonts w:cs="Arial"/>
                <w:iCs/>
                <w:color w:val="auto"/>
                <w:lang w:val="en-US"/>
              </w:rPr>
              <w:t>interventions</w:t>
            </w:r>
            <w:r w:rsidR="00EB0F31" w:rsidRPr="0076359B">
              <w:rPr>
                <w:rFonts w:cs="Arial"/>
                <w:iCs/>
                <w:color w:val="auto"/>
                <w:lang w:val="en-US"/>
              </w:rPr>
              <w:t xml:space="preserve"> for pupils in need of additional support, delivered in addition to, and linked with, normal lessons. </w:t>
            </w:r>
          </w:p>
          <w:p w14:paraId="2B5D60E9" w14:textId="3FAF259B" w:rsidR="00DD22AA" w:rsidRPr="0076359B" w:rsidRDefault="002172A9" w:rsidP="00DD22AA">
            <w:pPr>
              <w:pStyle w:val="TableRow"/>
              <w:spacing w:after="120"/>
              <w:ind w:left="0" w:right="0"/>
              <w:rPr>
                <w:rFonts w:cs="Arial"/>
              </w:rPr>
            </w:pPr>
            <w:r w:rsidRPr="0076359B">
              <w:rPr>
                <w:rFonts w:cs="Arial"/>
                <w:iCs/>
                <w:color w:val="auto"/>
                <w:lang w:val="en-US"/>
              </w:rPr>
              <w:t>I</w:t>
            </w:r>
            <w:r w:rsidR="00DD22AA" w:rsidRPr="0076359B">
              <w:rPr>
                <w:rFonts w:cs="Arial"/>
                <w:iCs/>
                <w:color w:val="auto"/>
                <w:lang w:val="en-US"/>
              </w:rPr>
              <w:t>nterventions will be implemented by school staff.</w:t>
            </w:r>
          </w:p>
          <w:p w14:paraId="3695491C" w14:textId="1FFF9680" w:rsidR="00CD58F9" w:rsidRPr="006D2288" w:rsidRDefault="00CD58F9" w:rsidP="00EB0F31">
            <w:pPr>
              <w:pStyle w:val="NoSpacing"/>
              <w:rPr>
                <w:rFonts w:ascii="Lato Light" w:hAnsi="Lato Light" w:cs="Arial"/>
                <w:sz w:val="24"/>
                <w:szCs w:val="24"/>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8270C" w14:textId="6AFCEFBB" w:rsidR="00DD22AA" w:rsidRPr="0076359B" w:rsidRDefault="00DD22AA" w:rsidP="00DD22AA">
            <w:pPr>
              <w:autoSpaceDN/>
              <w:spacing w:before="60" w:after="60"/>
              <w:rPr>
                <w:rFonts w:cs="Arial"/>
                <w:color w:val="auto"/>
              </w:rPr>
            </w:pPr>
            <w:r w:rsidRPr="0076359B">
              <w:rPr>
                <w:rFonts w:cs="Arial"/>
                <w:color w:val="auto"/>
              </w:rPr>
              <w:t xml:space="preserve">Tuition and interventions targeted at specific needs and knowledge gaps can be an effective method to support low attaining pupils or those falling behind: </w:t>
            </w:r>
          </w:p>
          <w:p w14:paraId="257EB03B" w14:textId="77777777" w:rsidR="00DD22AA" w:rsidRPr="0076359B" w:rsidRDefault="00DD22AA" w:rsidP="00DD22AA">
            <w:pPr>
              <w:autoSpaceDN/>
              <w:spacing w:before="60" w:after="120"/>
              <w:rPr>
                <w:rFonts w:cs="Arial"/>
                <w:color w:val="0000FF"/>
                <w:u w:val="single"/>
              </w:rPr>
            </w:pPr>
            <w:hyperlink r:id="rId17" w:history="1">
              <w:r w:rsidRPr="0076359B">
                <w:rPr>
                  <w:rStyle w:val="Hyperlink"/>
                  <w:rFonts w:cs="Arial"/>
                </w:rPr>
                <w:t>One to one tuition | Teaching and Learning Toolkit | EEF</w:t>
              </w:r>
            </w:hyperlink>
          </w:p>
          <w:p w14:paraId="3C77B671" w14:textId="77777777" w:rsidR="00562FF3" w:rsidRPr="0076359B" w:rsidRDefault="00DD22AA" w:rsidP="00DD22AA">
            <w:pPr>
              <w:pStyle w:val="TableRowCentered"/>
              <w:ind w:left="0" w:right="0"/>
              <w:jc w:val="left"/>
              <w:rPr>
                <w:rFonts w:cs="Arial"/>
                <w:szCs w:val="24"/>
              </w:rPr>
            </w:pPr>
            <w:hyperlink r:id="rId18" w:history="1">
              <w:r w:rsidRPr="0076359B">
                <w:rPr>
                  <w:rStyle w:val="Hyperlink"/>
                  <w:rFonts w:cs="Arial"/>
                </w:rPr>
                <w:t>Small group tuition | Teaching and Learning Toolkit | EEF</w:t>
              </w:r>
            </w:hyperlink>
            <w:r w:rsidR="00562FF3" w:rsidRPr="0076359B">
              <w:rPr>
                <w:rFonts w:cs="Arial"/>
                <w:szCs w:val="24"/>
              </w:rPr>
              <w:t xml:space="preserve"> </w:t>
            </w:r>
          </w:p>
          <w:p w14:paraId="41F94862" w14:textId="77777777" w:rsidR="002066F6" w:rsidRPr="0076359B" w:rsidRDefault="002066F6" w:rsidP="00DD22AA">
            <w:pPr>
              <w:pStyle w:val="TableRowCentered"/>
              <w:ind w:left="0" w:right="0"/>
              <w:jc w:val="left"/>
              <w:rPr>
                <w:rFonts w:cs="Arial"/>
                <w:szCs w:val="24"/>
              </w:rPr>
            </w:pPr>
          </w:p>
          <w:p w14:paraId="3EDD2BB7" w14:textId="2615DC28" w:rsidR="00CD58F9" w:rsidRPr="0076359B" w:rsidRDefault="002066F6" w:rsidP="00DD22AA">
            <w:pPr>
              <w:pStyle w:val="TableRowCentered"/>
              <w:ind w:left="0" w:right="0"/>
              <w:jc w:val="left"/>
              <w:rPr>
                <w:rStyle w:val="Hyperlink"/>
                <w:rFonts w:cs="Arial"/>
                <w:color w:val="0D0D0D"/>
                <w:szCs w:val="24"/>
                <w:u w:val="none"/>
              </w:rPr>
            </w:pPr>
            <w:r w:rsidRPr="0076359B">
              <w:rPr>
                <w:rFonts w:cs="Arial"/>
                <w:szCs w:val="24"/>
              </w:rPr>
              <w:t xml:space="preserve">The use of Teaching Assistants for Interventions </w:t>
            </w:r>
            <w:r w:rsidR="00507B36" w:rsidRPr="0076359B">
              <w:rPr>
                <w:rFonts w:cs="Arial"/>
                <w:szCs w:val="24"/>
              </w:rPr>
              <w:t xml:space="preserve">is stated </w:t>
            </w:r>
            <w:r w:rsidR="0043511B" w:rsidRPr="0076359B">
              <w:rPr>
                <w:rFonts w:cs="Arial"/>
                <w:szCs w:val="24"/>
              </w:rPr>
              <w:t xml:space="preserve">as having +4 months impact- </w:t>
            </w:r>
            <w:hyperlink r:id="rId19" w:history="1">
              <w:r w:rsidR="00562FF3" w:rsidRPr="0076359B">
                <w:rPr>
                  <w:rFonts w:cs="Arial"/>
                  <w:color w:val="0000FF"/>
                  <w:szCs w:val="24"/>
                  <w:u w:val="single"/>
                </w:rPr>
                <w:t>Teaching Assistant Interventions | EEF</w:t>
              </w:r>
            </w:hyperlink>
          </w:p>
          <w:p w14:paraId="2B2B5BFB" w14:textId="77777777" w:rsidR="00562FF3" w:rsidRDefault="00562FF3" w:rsidP="00DD22AA">
            <w:pPr>
              <w:pStyle w:val="TableRowCentered"/>
              <w:ind w:left="0" w:right="0"/>
              <w:jc w:val="left"/>
              <w:rPr>
                <w:rStyle w:val="Hyperlink"/>
              </w:rPr>
            </w:pPr>
          </w:p>
          <w:p w14:paraId="1822991B" w14:textId="083B9C1B" w:rsidR="00562FF3" w:rsidRPr="006D2288" w:rsidRDefault="00562FF3" w:rsidP="00DD22AA">
            <w:pPr>
              <w:pStyle w:val="TableRowCentered"/>
              <w:ind w:left="0" w:right="0"/>
              <w:jc w:val="left"/>
              <w:rPr>
                <w:rFonts w:ascii="Lato Light" w:hAnsi="Lato Light" w:cs="Arial"/>
                <w:color w:val="auto"/>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863CC" w14:textId="17AFC9BA" w:rsidR="00CD58F9" w:rsidRPr="0076359B" w:rsidRDefault="007271F0">
            <w:pPr>
              <w:pStyle w:val="TableRowCentered"/>
              <w:jc w:val="left"/>
              <w:rPr>
                <w:rFonts w:cs="Arial"/>
                <w:szCs w:val="24"/>
              </w:rPr>
            </w:pPr>
            <w:r w:rsidRPr="0076359B">
              <w:rPr>
                <w:rFonts w:cs="Arial"/>
                <w:szCs w:val="24"/>
              </w:rPr>
              <w:t>1,2</w:t>
            </w:r>
          </w:p>
        </w:tc>
      </w:tr>
      <w:tr w:rsidR="002E262E" w14:paraId="7DFBF31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3526B" w14:textId="4059C711" w:rsidR="002E262E" w:rsidRPr="0076359B" w:rsidRDefault="002E262E" w:rsidP="00EB0F31">
            <w:pPr>
              <w:pStyle w:val="TableRow"/>
              <w:spacing w:after="120"/>
              <w:ind w:left="0" w:right="0"/>
              <w:rPr>
                <w:rFonts w:cs="Arial"/>
                <w:iCs/>
                <w:color w:val="auto"/>
                <w:lang w:val="en-US"/>
              </w:rPr>
            </w:pPr>
            <w:r>
              <w:t xml:space="preserve">To improve listening, narrative and vocabulary skills for disadvantaged pupils who have relatively low spoken language skills, continuation and enhancement early </w:t>
            </w:r>
            <w:r w:rsidRPr="001E3A25">
              <w:t xml:space="preserve">intervention </w:t>
            </w:r>
            <w:r w:rsidR="001E3A25" w:rsidRPr="001E3A25">
              <w:t>including</w:t>
            </w:r>
            <w:r w:rsidRPr="001E3A25">
              <w:t xml:space="preserve"> Bedrock vocabulary</w:t>
            </w:r>
            <w:r w:rsidR="001E3A25" w:rsidRPr="001E3A25">
              <w:t>, and Lego club.</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DC73D" w14:textId="169C43E7" w:rsidR="002E262E" w:rsidRPr="0076359B" w:rsidRDefault="00217E2C" w:rsidP="00DD22AA">
            <w:pPr>
              <w:autoSpaceDN/>
              <w:spacing w:before="60" w:after="60"/>
              <w:rPr>
                <w:rFonts w:cs="Arial"/>
                <w:color w:val="auto"/>
              </w:rPr>
            </w:pPr>
            <w:r>
              <w:t>Oral language interventions can have a positive impact on pupils’ language skills. Approaches that focus on speaking, listening and a combination of the two show positive impacts on attainment: Oral language interventions | Teaching and Learning Toolkit |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12601" w14:textId="03E5C146" w:rsidR="002E262E" w:rsidRPr="0076359B" w:rsidRDefault="00217E2C">
            <w:pPr>
              <w:pStyle w:val="TableRowCentered"/>
              <w:jc w:val="left"/>
              <w:rPr>
                <w:rFonts w:cs="Arial"/>
                <w:szCs w:val="24"/>
              </w:rPr>
            </w:pPr>
            <w:r>
              <w:rPr>
                <w:rFonts w:cs="Arial"/>
                <w:szCs w:val="24"/>
              </w:rPr>
              <w:t>1</w:t>
            </w:r>
          </w:p>
        </w:tc>
      </w:tr>
    </w:tbl>
    <w:p w14:paraId="2A7D5531" w14:textId="77777777" w:rsidR="00E66558" w:rsidRDefault="00E66558" w:rsidP="00AA355B"/>
    <w:p w14:paraId="3A56548C" w14:textId="77777777" w:rsidR="00A04862" w:rsidRDefault="00A04862" w:rsidP="00AA355B">
      <w:pPr>
        <w:pStyle w:val="Heading3"/>
      </w:pPr>
    </w:p>
    <w:p w14:paraId="2A7D5532" w14:textId="4A97BDBA" w:rsidR="00E66558" w:rsidRPr="00AA355B" w:rsidRDefault="009D71E8" w:rsidP="00AA355B">
      <w:pPr>
        <w:pStyle w:val="Heading3"/>
      </w:pPr>
      <w:r>
        <w:t>Wider strategies (for example, related to attendance, behaviour, wellbeing)</w:t>
      </w:r>
      <w:r w:rsidR="0039756B" w:rsidRPr="0039756B">
        <w:rPr>
          <w:color w:val="FF0000"/>
        </w:rPr>
        <w:t xml:space="preserve"> </w:t>
      </w:r>
    </w:p>
    <w:p w14:paraId="2A7D5533" w14:textId="09ED07F6" w:rsidR="00E66558" w:rsidRDefault="009D71E8">
      <w:pPr>
        <w:spacing w:before="240" w:after="120"/>
      </w:pPr>
      <w:r>
        <w:t>Budgeted cost: £</w:t>
      </w:r>
      <w:r w:rsidR="00F71182">
        <w:t>5</w:t>
      </w:r>
      <w:r w:rsidR="00391A93">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9E561" w14:textId="77777777" w:rsidR="00BD5C17" w:rsidRPr="0076359B" w:rsidRDefault="00BD5C17" w:rsidP="00BD5C17">
            <w:pPr>
              <w:pStyle w:val="TableRow"/>
              <w:spacing w:after="120"/>
              <w:ind w:left="0" w:right="0"/>
              <w:rPr>
                <w:rFonts w:cs="Arial"/>
                <w:iCs/>
                <w:color w:val="auto"/>
                <w:szCs w:val="28"/>
                <w:lang w:val="en-US"/>
              </w:rPr>
            </w:pPr>
            <w:r w:rsidRPr="0076359B">
              <w:rPr>
                <w:rFonts w:cs="Arial"/>
                <w:iCs/>
                <w:color w:val="auto"/>
                <w:szCs w:val="28"/>
                <w:lang w:val="en-US"/>
              </w:rPr>
              <w:t xml:space="preserve">Embedding principles of good practice set out in the DfE’s guidance on </w:t>
            </w:r>
            <w:hyperlink r:id="rId20" w:history="1">
              <w:r w:rsidRPr="0076359B">
                <w:rPr>
                  <w:rStyle w:val="Hyperlink"/>
                  <w:rFonts w:cs="Arial"/>
                  <w:iCs/>
                  <w:szCs w:val="28"/>
                  <w:lang w:val="en-US"/>
                </w:rPr>
                <w:t xml:space="preserve">working </w:t>
              </w:r>
              <w:r w:rsidRPr="0076359B">
                <w:rPr>
                  <w:rStyle w:val="Hyperlink"/>
                  <w:rFonts w:cs="Arial"/>
                  <w:iCs/>
                  <w:szCs w:val="28"/>
                  <w:lang w:val="en-US"/>
                </w:rPr>
                <w:lastRenderedPageBreak/>
                <w:t>together to improve school attendance</w:t>
              </w:r>
            </w:hyperlink>
            <w:r w:rsidRPr="0076359B">
              <w:rPr>
                <w:rStyle w:val="Hyperlink"/>
                <w:rFonts w:cs="Arial"/>
                <w:iCs/>
                <w:color w:val="0070C0"/>
                <w:szCs w:val="28"/>
                <w:lang w:val="en-US"/>
              </w:rPr>
              <w:t>.</w:t>
            </w:r>
          </w:p>
          <w:p w14:paraId="091A4488" w14:textId="2951B51F" w:rsidR="000720C7" w:rsidRPr="0076359B" w:rsidRDefault="00BD5C17" w:rsidP="00BD5C17">
            <w:pPr>
              <w:spacing w:after="120"/>
              <w:rPr>
                <w:rFonts w:cs="Arial"/>
                <w:sz w:val="20"/>
                <w:szCs w:val="20"/>
              </w:rPr>
            </w:pPr>
            <w:r w:rsidRPr="0076359B">
              <w:rPr>
                <w:rFonts w:cs="Arial"/>
                <w:iCs/>
                <w:color w:val="auto"/>
                <w:szCs w:val="28"/>
                <w:lang w:val="en-US"/>
              </w:rPr>
              <w:t>This will involve training and release time for staff to develop and implement new procedures and appointing attendance/support officers to improve attendance.</w:t>
            </w:r>
          </w:p>
          <w:p w14:paraId="2A7D5538" w14:textId="17BB64E0" w:rsidR="00E66558" w:rsidRDefault="00E66558">
            <w:pPr>
              <w:pStyle w:val="TableRow"/>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0ECD5AF0" w:rsidR="00E66558" w:rsidRPr="0076359B" w:rsidRDefault="00EC4FBC">
            <w:pPr>
              <w:pStyle w:val="TableRowCentered"/>
              <w:jc w:val="left"/>
              <w:rPr>
                <w:rFonts w:cs="Arial"/>
                <w:szCs w:val="24"/>
              </w:rPr>
            </w:pPr>
            <w:r w:rsidRPr="0076359B">
              <w:rPr>
                <w:rFonts w:cs="Arial"/>
                <w:color w:val="auto"/>
              </w:rPr>
              <w:lastRenderedPageBreak/>
              <w:t>The DfE guidance has been informed by engagement with schools that have significantly reduced levels of absence and persistent absence.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0E899AEE" w:rsidR="00E66558" w:rsidRPr="0076359B" w:rsidRDefault="00EC4FBC">
            <w:pPr>
              <w:pStyle w:val="TableRowCentered"/>
              <w:jc w:val="left"/>
              <w:rPr>
                <w:szCs w:val="24"/>
              </w:rPr>
            </w:pPr>
            <w:r w:rsidRPr="0076359B">
              <w:rPr>
                <w:szCs w:val="24"/>
              </w:rPr>
              <w:t>4</w:t>
            </w:r>
          </w:p>
        </w:tc>
      </w:tr>
      <w:tr w:rsidR="00187050" w14:paraId="26FC96F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D8113" w14:textId="77777777" w:rsidR="00231B82" w:rsidRPr="0076359B" w:rsidRDefault="00231B82" w:rsidP="00231B82">
            <w:pPr>
              <w:rPr>
                <w:rFonts w:cs="Arial"/>
              </w:rPr>
            </w:pPr>
            <w:r w:rsidRPr="0076359B">
              <w:rPr>
                <w:rFonts w:cs="Arial"/>
              </w:rPr>
              <w:t>Targeted PP pupils will be provided with funded places at SMASH and breakfast club to support them with their daily reading and completion of homework.</w:t>
            </w:r>
          </w:p>
          <w:p w14:paraId="199C3662" w14:textId="14421977" w:rsidR="00187050" w:rsidRDefault="002D345A" w:rsidP="00402355">
            <w:pPr>
              <w:spacing w:after="120"/>
              <w:rPr>
                <w:rFonts w:ascii="Lato Light" w:hAnsi="Lato Light"/>
              </w:rPr>
            </w:pPr>
            <w:r w:rsidRPr="0076359B">
              <w:rPr>
                <w:rFonts w:cs="Arial"/>
              </w:rPr>
              <w:t>School will hold regular workshops in relation to Maths, Phonics and Reading to provide parents with the resources and tools to support their child’s learning at home.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01A5C" w14:textId="77777777" w:rsidR="00892827" w:rsidRPr="0076359B" w:rsidRDefault="00892827" w:rsidP="00892827">
            <w:pPr>
              <w:rPr>
                <w:rFonts w:cs="Arial"/>
              </w:rPr>
            </w:pPr>
            <w:r w:rsidRPr="0076359B">
              <w:rPr>
                <w:rFonts w:cs="Arial"/>
              </w:rPr>
              <w:t>Homework has a positive impact on average (+5 months).</w:t>
            </w:r>
          </w:p>
          <w:p w14:paraId="18DEFAA3" w14:textId="4F601004" w:rsidR="00187050" w:rsidRDefault="00892827" w:rsidP="00892827">
            <w:pPr>
              <w:pStyle w:val="TableRowCentered"/>
              <w:jc w:val="left"/>
              <w:rPr>
                <w:sz w:val="22"/>
              </w:rPr>
            </w:pPr>
            <w:r w:rsidRPr="0076359B">
              <w:rPr>
                <w:rFonts w:cs="Arial"/>
                <w:szCs w:val="24"/>
              </w:rPr>
              <w:t xml:space="preserve">Pupils eligible for free school meals typically receive additional benefits from homework. However, surveys in England suggest that pupils from disadvantaged backgrounds are less likely to have a quiet working space, are less likely to have access to a device suitable for learning or a stable internet connection and may receive less parental support to complete homework and develop effective learning habits. These may increase the gap in attainment. </w:t>
            </w:r>
            <w:r w:rsidRPr="0076359B">
              <w:rPr>
                <w:rFonts w:cs="Arial"/>
                <w:b/>
                <w:bCs/>
                <w:szCs w:val="24"/>
              </w:rPr>
              <w:t>Homework clubs can help to overcome these barriers</w:t>
            </w:r>
            <w:r w:rsidRPr="0076359B">
              <w:rPr>
                <w:rFonts w:cs="Arial"/>
                <w:szCs w:val="24"/>
              </w:rPr>
              <w:t xml:space="preserve"> by offering pupils the resources and support needed to undertake homework or revision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1F90F" w14:textId="0E7D73E8" w:rsidR="00F524D8" w:rsidRDefault="00EC4FBC" w:rsidP="00EC4FBC">
            <w:pPr>
              <w:pStyle w:val="TableRowCentered"/>
              <w:ind w:left="0"/>
              <w:jc w:val="left"/>
              <w:rPr>
                <w:sz w:val="22"/>
              </w:rPr>
            </w:pPr>
            <w:r>
              <w:rPr>
                <w:sz w:val="22"/>
              </w:rPr>
              <w:t>4</w:t>
            </w:r>
            <w:r w:rsidR="007357D3">
              <w:rPr>
                <w:sz w:val="22"/>
              </w:rPr>
              <w:t>, 5</w:t>
            </w:r>
          </w:p>
        </w:tc>
      </w:tr>
      <w:tr w:rsidR="00892827" w14:paraId="2CA0547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B2880" w14:textId="77777777" w:rsidR="00E46070" w:rsidRPr="0076359B" w:rsidRDefault="00E46070" w:rsidP="00E46070">
            <w:pPr>
              <w:rPr>
                <w:rFonts w:cs="Arial"/>
              </w:rPr>
            </w:pPr>
            <w:r w:rsidRPr="0076359B">
              <w:rPr>
                <w:rFonts w:cs="Arial"/>
              </w:rPr>
              <w:t>Pupils will be provided with the opportunity to attend funded sports’ clubs and peripatetic music lessons.</w:t>
            </w:r>
          </w:p>
          <w:p w14:paraId="1A5BC424" w14:textId="16BD8274" w:rsidR="00892827" w:rsidRDefault="00E46070" w:rsidP="00E46070">
            <w:pPr>
              <w:rPr>
                <w:rFonts w:ascii="Lato Light" w:hAnsi="Lato Light"/>
              </w:rPr>
            </w:pPr>
            <w:r w:rsidRPr="0076359B">
              <w:rPr>
                <w:rFonts w:cs="Arial"/>
              </w:rPr>
              <w:t>School will fund or make contributions towards school trips for PP pupils, and the Y6 residential to W</w:t>
            </w:r>
            <w:r w:rsidR="00424F9E" w:rsidRPr="0076359B">
              <w:rPr>
                <w:rFonts w:cs="Arial"/>
              </w:rPr>
              <w:t>ales.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75F5E" w14:textId="77777777" w:rsidR="00405763" w:rsidRPr="0076359B" w:rsidRDefault="00405763" w:rsidP="00424F9E">
            <w:pPr>
              <w:rPr>
                <w:rFonts w:cs="Arial"/>
              </w:rPr>
            </w:pPr>
            <w:r w:rsidRPr="0076359B">
              <w:rPr>
                <w:rFonts w:cs="Arial"/>
              </w:rPr>
              <w:t>Outdoor Adventure Learning might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self-confidence and motivation. </w:t>
            </w:r>
          </w:p>
          <w:p w14:paraId="7372662C" w14:textId="77777777" w:rsidR="00405763" w:rsidRPr="0076359B" w:rsidRDefault="00405763" w:rsidP="00CD5A1C">
            <w:pPr>
              <w:rPr>
                <w:rFonts w:cs="Arial"/>
              </w:rPr>
            </w:pPr>
            <w:r w:rsidRPr="0076359B">
              <w:rPr>
                <w:rFonts w:cs="Arial"/>
              </w:rPr>
              <w:t>The application of these non-cognitive skills in the classroom may in turn have a positive effect on academic outcomes. (EEF)</w:t>
            </w:r>
          </w:p>
          <w:p w14:paraId="3DED408A" w14:textId="220FDDC2" w:rsidR="00EF1503" w:rsidRPr="0076359B" w:rsidRDefault="00EF1503" w:rsidP="00CD5A1C">
            <w:pPr>
              <w:rPr>
                <w:rFonts w:cs="Arial"/>
                <w:color w:val="263238"/>
                <w:shd w:val="clear" w:color="auto" w:fill="FFFFFF"/>
              </w:rPr>
            </w:pPr>
            <w:r w:rsidRPr="0076359B">
              <w:rPr>
                <w:rFonts w:cs="Arial"/>
                <w:color w:val="263238"/>
                <w:shd w:val="clear" w:color="auto" w:fill="FFFFFF"/>
              </w:rPr>
              <w:lastRenderedPageBreak/>
              <w:t xml:space="preserve">Overall, the average impact of arts participation on other areas of academic learning appears to be positive but moderate, about an additional three </w:t>
            </w:r>
            <w:r w:rsidR="00CD5A1C" w:rsidRPr="0076359B">
              <w:rPr>
                <w:rFonts w:cs="Arial"/>
                <w:color w:val="263238"/>
                <w:shd w:val="clear" w:color="auto" w:fill="FFFFFF"/>
              </w:rPr>
              <w:t xml:space="preserve">months </w:t>
            </w:r>
            <w:r w:rsidRPr="0076359B">
              <w:rPr>
                <w:rFonts w:cs="Arial"/>
                <w:color w:val="263238"/>
                <w:shd w:val="clear" w:color="auto" w:fill="FFFFFF"/>
              </w:rPr>
              <w:t>progress. </w:t>
            </w:r>
          </w:p>
          <w:p w14:paraId="51D1BEAE" w14:textId="77777777" w:rsidR="00EF1503" w:rsidRPr="0076359B" w:rsidRDefault="00EF1503" w:rsidP="00CD5A1C">
            <w:pPr>
              <w:rPr>
                <w:rFonts w:cs="Arial"/>
              </w:rPr>
            </w:pPr>
            <w:r w:rsidRPr="0076359B">
              <w:rPr>
                <w:rFonts w:cs="Arial"/>
                <w:color w:val="263238"/>
                <w:shd w:val="clear" w:color="auto" w:fill="FFFFFF"/>
              </w:rPr>
              <w:t>Wider benefits such as more positive attitudes to learning and increased well-being have also consistently been reported. (EEF)</w:t>
            </w:r>
          </w:p>
          <w:p w14:paraId="4D80485B" w14:textId="77777777" w:rsidR="00405763" w:rsidRPr="00E13845" w:rsidRDefault="00405763" w:rsidP="00892827">
            <w:pPr>
              <w:rPr>
                <w:rFonts w:ascii="Lato Light" w:hAnsi="Lato Light"/>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4BC80" w14:textId="09104987" w:rsidR="00892827" w:rsidRPr="0076359B" w:rsidRDefault="00F524D8">
            <w:pPr>
              <w:pStyle w:val="TableRowCentered"/>
              <w:jc w:val="left"/>
              <w:rPr>
                <w:szCs w:val="24"/>
              </w:rPr>
            </w:pPr>
            <w:r w:rsidRPr="0076359B">
              <w:rPr>
                <w:szCs w:val="24"/>
              </w:rPr>
              <w:lastRenderedPageBreak/>
              <w:t>3</w:t>
            </w:r>
          </w:p>
        </w:tc>
      </w:tr>
      <w:tr w:rsidR="0016288E" w14:paraId="78DE0687"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56B66" w14:textId="77777777" w:rsidR="0016288E" w:rsidRPr="0076359B" w:rsidRDefault="0016288E" w:rsidP="0016288E">
            <w:pPr>
              <w:spacing w:after="40"/>
              <w:rPr>
                <w:rFonts w:cs="Arial"/>
              </w:rPr>
            </w:pPr>
            <w:r w:rsidRPr="0076359B">
              <w:rPr>
                <w:rFonts w:cs="Arial"/>
              </w:rPr>
              <w:t>Termly meetings SLT and class teachers to discuss overall PP provision, including the emotional, social and mental well-being of PP pupils.</w:t>
            </w:r>
          </w:p>
          <w:p w14:paraId="7055CA12" w14:textId="77777777" w:rsidR="0016288E" w:rsidRPr="0076359B" w:rsidRDefault="0016288E" w:rsidP="0016288E">
            <w:pPr>
              <w:spacing w:after="40"/>
              <w:rPr>
                <w:rFonts w:cs="Arial"/>
              </w:rPr>
            </w:pPr>
          </w:p>
          <w:p w14:paraId="26360037" w14:textId="77777777" w:rsidR="0016288E" w:rsidRPr="00686251" w:rsidRDefault="0016288E" w:rsidP="0016288E">
            <w:pPr>
              <w:spacing w:after="40"/>
              <w:rPr>
                <w:rFonts w:ascii="Lato Light" w:hAnsi="Lato Light"/>
              </w:rPr>
            </w:pPr>
            <w:r w:rsidRPr="0076359B">
              <w:rPr>
                <w:rFonts w:cs="Arial"/>
              </w:rPr>
              <w:t>Class teachers to undertake Boxall Profiles for targeted groups of PP pupils for Art Therapy, Lego therapy and other emotional support sessions. Class teacher to liaise with Pastoral Lead to set clear targets for the pupils in relation to their social</w:t>
            </w:r>
            <w:r w:rsidRPr="00686251">
              <w:rPr>
                <w:rFonts w:ascii="Lato Light" w:hAnsi="Lato Light"/>
              </w:rPr>
              <w:t xml:space="preserve"> and emotional wellbeing.</w:t>
            </w:r>
          </w:p>
          <w:p w14:paraId="4CB4BE5C" w14:textId="77777777" w:rsidR="0016288E" w:rsidRPr="00BA0953" w:rsidRDefault="0016288E" w:rsidP="0016288E">
            <w:pPr>
              <w:rPr>
                <w:rFonts w:ascii="Lato Light" w:hAnsi="Lato Light"/>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C8931" w14:textId="77777777" w:rsidR="0016288E" w:rsidRPr="0076359B" w:rsidRDefault="0016288E" w:rsidP="0016288E">
            <w:pPr>
              <w:rPr>
                <w:rFonts w:cs="Arial"/>
              </w:rPr>
            </w:pPr>
            <w:r w:rsidRPr="0076359B">
              <w:rPr>
                <w:rFonts w:cs="Arial"/>
              </w:rPr>
              <w:t>Social and emotional learning approaches have a positive impact, on average, of 4 months’ additional progress in academic outcomes over the course of an academic year. (EEF)</w:t>
            </w:r>
          </w:p>
          <w:p w14:paraId="2687D214" w14:textId="77777777" w:rsidR="0016288E" w:rsidRPr="0076359B" w:rsidRDefault="0016288E" w:rsidP="0016288E">
            <w:pPr>
              <w:rPr>
                <w:rFonts w:cs="Arial"/>
              </w:rPr>
            </w:pPr>
          </w:p>
          <w:p w14:paraId="79CE6CFE" w14:textId="77777777" w:rsidR="0016288E" w:rsidRPr="0076359B" w:rsidRDefault="0016288E" w:rsidP="0016288E">
            <w:pPr>
              <w:rPr>
                <w:rFonts w:cs="Arial"/>
              </w:rPr>
            </w:pPr>
            <w:r w:rsidRPr="0076359B">
              <w:rPr>
                <w:rFonts w:cs="Arial"/>
              </w:rPr>
              <w:t>SEL interventions in education are shown to improve SEL skills and are therefore likely to support disadvantaged pupils to understand and engage in healthy relationships with peers and emotional self-regulation, both of which may subsequently increase academic attainment. (EEF)</w:t>
            </w:r>
          </w:p>
          <w:p w14:paraId="4CF7B4E0" w14:textId="77777777" w:rsidR="0016288E" w:rsidRPr="005A04A4" w:rsidRDefault="0016288E" w:rsidP="0016288E">
            <w:pPr>
              <w:pStyle w:val="NormalWeb"/>
              <w:pBdr>
                <w:top w:val="single" w:sz="2" w:space="0" w:color="EEEEEE"/>
                <w:left w:val="single" w:sz="2" w:space="0" w:color="EEEEEE"/>
                <w:bottom w:val="single" w:sz="2" w:space="0" w:color="EEEEEE"/>
                <w:right w:val="single" w:sz="2" w:space="0" w:color="EEEEEE"/>
              </w:pBdr>
              <w:shd w:val="clear" w:color="auto" w:fill="FAFAFA"/>
              <w:spacing w:before="0" w:beforeAutospacing="0" w:after="288" w:afterAutospacing="0"/>
              <w:rPr>
                <w:rFonts w:ascii="Lato Light" w:hAnsi="Lato Light"/>
                <w:color w:val="374151"/>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2CCF7" w14:textId="7569B802" w:rsidR="0016288E" w:rsidRDefault="0016288E" w:rsidP="0016288E">
            <w:pPr>
              <w:pStyle w:val="TableRowCentered"/>
              <w:jc w:val="left"/>
              <w:rPr>
                <w:sz w:val="22"/>
              </w:rPr>
            </w:pPr>
            <w:r>
              <w:rPr>
                <w:sz w:val="22"/>
              </w:rPr>
              <w:t>3,4</w:t>
            </w:r>
          </w:p>
        </w:tc>
      </w:tr>
      <w:tr w:rsidR="00EB3EEC" w14:paraId="147FADF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E5292" w14:textId="77777777" w:rsidR="00EB3EEC" w:rsidRPr="0076359B" w:rsidRDefault="00EB3EEC" w:rsidP="00EB3EEC">
            <w:pPr>
              <w:spacing w:after="40"/>
              <w:rPr>
                <w:rFonts w:cs="Arial"/>
              </w:rPr>
            </w:pPr>
            <w:r w:rsidRPr="0076359B">
              <w:rPr>
                <w:rFonts w:cs="Arial"/>
              </w:rPr>
              <w:t>Targeted Nurture groups with the Pastoral Lead once a week, with ongoing check ins with pupils.</w:t>
            </w:r>
          </w:p>
          <w:p w14:paraId="160284A8" w14:textId="77777777" w:rsidR="00EB3EEC" w:rsidRPr="0076359B" w:rsidRDefault="00EB3EEC" w:rsidP="00EB3EEC">
            <w:pPr>
              <w:spacing w:after="40"/>
              <w:rPr>
                <w:rFonts w:cs="Arial"/>
              </w:rPr>
            </w:pPr>
          </w:p>
          <w:p w14:paraId="79A7DDCB" w14:textId="77777777" w:rsidR="00EB3EEC" w:rsidRPr="0076359B" w:rsidRDefault="00EB3EEC" w:rsidP="00EB3EEC">
            <w:pPr>
              <w:spacing w:after="40"/>
              <w:rPr>
                <w:rFonts w:cs="Arial"/>
              </w:rPr>
            </w:pPr>
            <w:r w:rsidRPr="0076359B">
              <w:rPr>
                <w:rFonts w:cs="Arial"/>
              </w:rPr>
              <w:t>Forest School provision- each class will access Forest School for at least a half term.</w:t>
            </w:r>
          </w:p>
          <w:p w14:paraId="37F4C0DD" w14:textId="77777777" w:rsidR="00EB3EEC" w:rsidRPr="0076359B" w:rsidRDefault="00EB3EEC" w:rsidP="00EB3EEC">
            <w:pPr>
              <w:spacing w:after="40"/>
              <w:rPr>
                <w:rFonts w:cs="Arial"/>
              </w:rPr>
            </w:pPr>
          </w:p>
          <w:p w14:paraId="4397AB89" w14:textId="77777777" w:rsidR="00EB3EEC" w:rsidRPr="0076359B" w:rsidRDefault="00EB3EEC" w:rsidP="00EB3EEC">
            <w:pPr>
              <w:spacing w:after="40"/>
              <w:rPr>
                <w:rFonts w:cs="Arial"/>
              </w:rPr>
            </w:pPr>
            <w:r w:rsidRPr="0076359B">
              <w:rPr>
                <w:rFonts w:cs="Arial"/>
              </w:rPr>
              <w:t>Lego therapy with targeted groups of PP</w:t>
            </w:r>
            <w:r w:rsidRPr="00BB31E5">
              <w:rPr>
                <w:rFonts w:ascii="Lato Light" w:hAnsi="Lato Light"/>
              </w:rPr>
              <w:t xml:space="preserve"> </w:t>
            </w:r>
            <w:r w:rsidRPr="0076359B">
              <w:rPr>
                <w:rFonts w:cs="Arial"/>
              </w:rPr>
              <w:t>pupils to be led by a teaching assistant.</w:t>
            </w:r>
          </w:p>
          <w:p w14:paraId="2C9C8B06" w14:textId="77777777" w:rsidR="00EB3EEC" w:rsidRPr="0076359B" w:rsidRDefault="00EB3EEC" w:rsidP="00EB3EEC">
            <w:pPr>
              <w:spacing w:after="40"/>
              <w:rPr>
                <w:rFonts w:cs="Arial"/>
              </w:rPr>
            </w:pPr>
          </w:p>
          <w:p w14:paraId="43D9ED2F" w14:textId="0C8E405F" w:rsidR="00EB3EEC" w:rsidRPr="00686251" w:rsidRDefault="00EB3EEC" w:rsidP="00EB3EEC">
            <w:pPr>
              <w:spacing w:after="40"/>
              <w:rPr>
                <w:rFonts w:ascii="Lato Light" w:hAnsi="Lato Light"/>
              </w:rPr>
            </w:pPr>
            <w:r w:rsidRPr="0076359B">
              <w:rPr>
                <w:rFonts w:cs="Arial"/>
              </w:rPr>
              <w:lastRenderedPageBreak/>
              <w:t>External provider to lead an Art Therapy group for targeted groups of pupils- 6 weeks of weekly sessions.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68289" w14:textId="77777777" w:rsidR="00EB3EEC" w:rsidRPr="0076359B" w:rsidRDefault="00EB3EEC" w:rsidP="00EB3EEC">
            <w:pPr>
              <w:rPr>
                <w:rFonts w:cs="Arial"/>
              </w:rPr>
            </w:pPr>
            <w:r w:rsidRPr="0076359B">
              <w:rPr>
                <w:rFonts w:cs="Arial"/>
              </w:rPr>
              <w:lastRenderedPageBreak/>
              <w:t>Social and emotional learning approaches have a positive impact, on average, of 4 months’ additional progress in academic outcomes over the course of an academic year. (EEF)</w:t>
            </w:r>
          </w:p>
          <w:p w14:paraId="3FAAB157" w14:textId="77777777" w:rsidR="00EB3EEC" w:rsidRPr="00BB31E5" w:rsidRDefault="00EB3EEC" w:rsidP="00EB3EEC">
            <w:pPr>
              <w:rPr>
                <w:rFonts w:ascii="Lato Light" w:hAnsi="Lato Light"/>
              </w:rPr>
            </w:pPr>
            <w:r w:rsidRPr="0076359B">
              <w:rPr>
                <w:rFonts w:cs="Arial"/>
              </w:rPr>
              <w:t>SEL interventions in education are shown to improve SEL skills and are therefore likely to support disadvantaged pupils to understand and engage in healthy relationships with peers and emotional self-regulation, both of which may</w:t>
            </w:r>
            <w:r w:rsidRPr="00BB31E5">
              <w:rPr>
                <w:rFonts w:ascii="Lato Light" w:hAnsi="Lato Light"/>
              </w:rPr>
              <w:t xml:space="preserve"> </w:t>
            </w:r>
            <w:r w:rsidRPr="0076359B">
              <w:rPr>
                <w:rFonts w:cs="Arial"/>
              </w:rPr>
              <w:t>subsequently increase academic attainment. (EEF)</w:t>
            </w:r>
          </w:p>
          <w:p w14:paraId="1A6CF992" w14:textId="77777777" w:rsidR="00EB3EEC" w:rsidRPr="00686251" w:rsidRDefault="00EB3EEC" w:rsidP="00EB3EEC">
            <w:pPr>
              <w:rPr>
                <w:rFonts w:ascii="Lato Light" w:hAnsi="Lato Light"/>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F132E" w14:textId="6F69C43E" w:rsidR="00EB3EEC" w:rsidRPr="0076359B" w:rsidRDefault="00E57877" w:rsidP="00EB3EEC">
            <w:pPr>
              <w:pStyle w:val="TableRowCentered"/>
              <w:jc w:val="left"/>
              <w:rPr>
                <w:rFonts w:cs="Arial"/>
                <w:szCs w:val="24"/>
              </w:rPr>
            </w:pPr>
            <w:r w:rsidRPr="0076359B">
              <w:rPr>
                <w:rFonts w:cs="Arial"/>
                <w:szCs w:val="24"/>
              </w:rPr>
              <w:t>3,4</w:t>
            </w:r>
          </w:p>
        </w:tc>
      </w:tr>
      <w:tr w:rsidR="00525D9D" w14:paraId="538CA3D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97607" w14:textId="52484424" w:rsidR="00525D9D" w:rsidRPr="0076359B" w:rsidRDefault="00525D9D" w:rsidP="00EB3EEC">
            <w:pPr>
              <w:spacing w:after="40"/>
              <w:rPr>
                <w:rFonts w:cs="Arial"/>
              </w:rPr>
            </w:pPr>
            <w:r>
              <w:t>Contingency fund for acute issues.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1DCF5" w14:textId="6C2DF3DE" w:rsidR="00525D9D" w:rsidRPr="0076359B" w:rsidRDefault="007854A2" w:rsidP="00EB3EEC">
            <w:pPr>
              <w:rPr>
                <w:rFonts w:cs="Arial"/>
              </w:rPr>
            </w:pPr>
            <w:r>
              <w:t>Based on our experiences and those of similar schools to ours,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68AEE" w14:textId="32AE558B" w:rsidR="00525D9D" w:rsidRPr="0076359B" w:rsidRDefault="007854A2" w:rsidP="00EB3EEC">
            <w:pPr>
              <w:pStyle w:val="TableRowCentered"/>
              <w:jc w:val="left"/>
              <w:rPr>
                <w:rFonts w:cs="Arial"/>
                <w:szCs w:val="24"/>
              </w:rPr>
            </w:pPr>
            <w:r>
              <w:rPr>
                <w:rFonts w:cs="Arial"/>
                <w:szCs w:val="24"/>
              </w:rPr>
              <w:t>All</w:t>
            </w:r>
          </w:p>
        </w:tc>
      </w:tr>
    </w:tbl>
    <w:p w14:paraId="2A7D5540" w14:textId="77777777" w:rsidR="00E66558" w:rsidRDefault="00E66558">
      <w:pPr>
        <w:spacing w:before="240" w:after="0"/>
        <w:rPr>
          <w:b/>
          <w:bCs/>
          <w:color w:val="104F75"/>
          <w:sz w:val="28"/>
          <w:szCs w:val="28"/>
        </w:rPr>
      </w:pPr>
    </w:p>
    <w:p w14:paraId="2A7D5541" w14:textId="3455D8A1" w:rsidR="00E66558" w:rsidRDefault="009D71E8" w:rsidP="00120AB1">
      <w:r>
        <w:rPr>
          <w:b/>
          <w:bCs/>
          <w:color w:val="104F75"/>
          <w:sz w:val="28"/>
          <w:szCs w:val="28"/>
        </w:rPr>
        <w:t xml:space="preserve">Total budgeted cost: £ </w:t>
      </w:r>
      <w:r w:rsidR="00DA123E">
        <w:rPr>
          <w:b/>
          <w:bCs/>
          <w:color w:val="104F75"/>
          <w:sz w:val="28"/>
          <w:szCs w:val="28"/>
        </w:rPr>
        <w:t>55,460</w:t>
      </w:r>
    </w:p>
    <w:p w14:paraId="2A7D5542" w14:textId="34356E31" w:rsidR="00E66558" w:rsidRPr="0039756B" w:rsidRDefault="009D71E8" w:rsidP="00064366">
      <w:pPr>
        <w:pStyle w:val="Heading1"/>
        <w:rPr>
          <w:color w:val="FF0000"/>
        </w:rPr>
      </w:pPr>
      <w:r w:rsidRPr="00064366">
        <w:lastRenderedPageBreak/>
        <w:t>Part B: Review of the previous academic year</w:t>
      </w:r>
      <w:r w:rsidR="006E38FD">
        <w:t xml:space="preserve"> 2024/2025</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7F18B" w14:textId="04EC4E3B" w:rsidR="00DE2ED9" w:rsidRPr="004C0630" w:rsidRDefault="004C0630" w:rsidP="00370AF0">
            <w:pPr>
              <w:suppressAutoHyphens w:val="0"/>
              <w:autoSpaceDN/>
              <w:rPr>
                <w:rFonts w:cs="Arial"/>
              </w:rPr>
            </w:pPr>
            <w:r w:rsidRPr="004C0630">
              <w:rPr>
                <w:rFonts w:cs="Arial"/>
              </w:rPr>
              <w:t>Progress in year one against intended outcomes is as follows:</w:t>
            </w:r>
          </w:p>
          <w:p w14:paraId="1D4137E6" w14:textId="70852276" w:rsidR="00E83A3A" w:rsidRDefault="00E83A3A" w:rsidP="00370AF0">
            <w:pPr>
              <w:suppressAutoHyphens w:val="0"/>
              <w:autoSpaceDN/>
              <w:rPr>
                <w:rFonts w:cs="Arial"/>
                <w:b/>
                <w:bCs/>
                <w:i/>
                <w:iCs/>
              </w:rPr>
            </w:pPr>
            <w:r w:rsidRPr="00F56664">
              <w:rPr>
                <w:rFonts w:cs="Arial"/>
                <w:b/>
                <w:bCs/>
                <w:i/>
                <w:iCs/>
              </w:rPr>
              <w:t>Improved oral language skills and vocabulary among disadvantaged pupils.</w:t>
            </w:r>
          </w:p>
          <w:p w14:paraId="33D5D510" w14:textId="628F07E1" w:rsidR="00FC2D0F" w:rsidRDefault="00890D3A" w:rsidP="00370AF0">
            <w:pPr>
              <w:suppressAutoHyphens w:val="0"/>
              <w:autoSpaceDN/>
              <w:rPr>
                <w:rFonts w:cs="Arial"/>
              </w:rPr>
            </w:pPr>
            <w:r w:rsidRPr="00D8163A">
              <w:rPr>
                <w:rFonts w:cs="Arial"/>
              </w:rPr>
              <w:t xml:space="preserve">There has been a large focus on the development of oracy throughout the school, and groups of children have been supported with group or individual interventions, </w:t>
            </w:r>
            <w:r w:rsidR="00AC4EF8" w:rsidRPr="00D8163A">
              <w:rPr>
                <w:rFonts w:cs="Arial"/>
              </w:rPr>
              <w:t xml:space="preserve">such as Talk Boost, Art therapy and Lego therapy which support in developing the children’s confidence and in turn their language skills. Quality First Teaching </w:t>
            </w:r>
            <w:r w:rsidR="00E17DDD">
              <w:rPr>
                <w:rFonts w:cs="Arial"/>
              </w:rPr>
              <w:t xml:space="preserve">and </w:t>
            </w:r>
            <w:r w:rsidR="00347B92">
              <w:rPr>
                <w:rFonts w:cs="Arial"/>
              </w:rPr>
              <w:t>high-quality</w:t>
            </w:r>
            <w:r w:rsidR="00E17DDD">
              <w:rPr>
                <w:rFonts w:cs="Arial"/>
              </w:rPr>
              <w:t xml:space="preserve"> disc</w:t>
            </w:r>
            <w:r w:rsidR="00C91DEB">
              <w:rPr>
                <w:rFonts w:cs="Arial"/>
              </w:rPr>
              <w:t xml:space="preserve">ussions in all subject areas </w:t>
            </w:r>
            <w:r w:rsidR="00AC4EF8" w:rsidRPr="00D8163A">
              <w:rPr>
                <w:rFonts w:cs="Arial"/>
              </w:rPr>
              <w:t xml:space="preserve">has ensured that </w:t>
            </w:r>
            <w:r w:rsidR="00F428F0" w:rsidRPr="00D8163A">
              <w:rPr>
                <w:rFonts w:cs="Arial"/>
              </w:rPr>
              <w:t xml:space="preserve">correct spoken language is modelled to </w:t>
            </w:r>
            <w:r w:rsidR="00C91DEB">
              <w:rPr>
                <w:rFonts w:cs="Arial"/>
              </w:rPr>
              <w:t xml:space="preserve">and used by </w:t>
            </w:r>
            <w:r w:rsidR="00F428F0" w:rsidRPr="00D8163A">
              <w:rPr>
                <w:rFonts w:cs="Arial"/>
              </w:rPr>
              <w:t xml:space="preserve">children daily, and lesson observations have shown that from their starting points, children are starting to develop their language skills and use of vocabulary. This will continue through year 2 of the plan, </w:t>
            </w:r>
            <w:r w:rsidR="00D8163A" w:rsidRPr="00D8163A">
              <w:rPr>
                <w:rFonts w:cs="Arial"/>
              </w:rPr>
              <w:t xml:space="preserve">with more children accessing Talk Boost sessions, and a re-launch of the development of </w:t>
            </w:r>
            <w:r w:rsidR="00C91DEB">
              <w:rPr>
                <w:rFonts w:cs="Arial"/>
              </w:rPr>
              <w:t>o</w:t>
            </w:r>
            <w:r w:rsidR="00D8163A" w:rsidRPr="00D8163A">
              <w:rPr>
                <w:rFonts w:cs="Arial"/>
              </w:rPr>
              <w:t>racy across the English curriculum.</w:t>
            </w:r>
            <w:r w:rsidR="00281784">
              <w:rPr>
                <w:rFonts w:cs="Arial"/>
              </w:rPr>
              <w:t xml:space="preserve"> The SENCO has also worked closely with class teachers and SLT to ensure that Speech and Language referrals are made for any pupils where there is a concern regarding speech and language skills.</w:t>
            </w:r>
            <w:r w:rsidR="009F6083">
              <w:rPr>
                <w:rFonts w:cs="Arial"/>
              </w:rPr>
              <w:t xml:space="preserve"> This is identified and addressed in a timely manner, to ensure that support is put in place for pupils.</w:t>
            </w:r>
          </w:p>
          <w:p w14:paraId="7C675ADD" w14:textId="6E269AAB" w:rsidR="008A7BB2" w:rsidRPr="00D8163A" w:rsidRDefault="008A7BB2" w:rsidP="00370AF0">
            <w:pPr>
              <w:suppressAutoHyphens w:val="0"/>
              <w:autoSpaceDN/>
              <w:rPr>
                <w:rFonts w:cs="Arial"/>
              </w:rPr>
            </w:pPr>
            <w:r>
              <w:t>Key vocabulary is identified on medium-term plans for all subjects and is displayed on working walls within the classroom. There is also a word of the week in each class, and children are encouraged to use the word throughout the week and develop an understanding of its’ meaning. During lessons, key vocab</w:t>
            </w:r>
            <w:r w:rsidR="007F2370">
              <w:t>ulary</w:t>
            </w:r>
            <w:r>
              <w:t xml:space="preserve"> is explicitly taught and revisited during</w:t>
            </w:r>
            <w:r w:rsidR="00F70282">
              <w:t xml:space="preserve"> recall time</w:t>
            </w:r>
            <w:r>
              <w:t xml:space="preserve">. </w:t>
            </w:r>
            <w:r w:rsidR="00F70282">
              <w:t>There has also been an increased l</w:t>
            </w:r>
            <w:r>
              <w:t xml:space="preserve">anguage focus during English lessons and guided reading sessions. </w:t>
            </w:r>
            <w:r w:rsidR="002E14C7">
              <w:t>This has ensured that progress has been observed from pupil’s starting points.</w:t>
            </w:r>
          </w:p>
          <w:p w14:paraId="6A2F5DB9" w14:textId="362B7EBD" w:rsidR="00384056" w:rsidRDefault="004C0630" w:rsidP="00370AF0">
            <w:pPr>
              <w:suppressAutoHyphens w:val="0"/>
              <w:autoSpaceDN/>
              <w:rPr>
                <w:rFonts w:cs="Arial"/>
                <w:b/>
                <w:bCs/>
                <w:i/>
                <w:iCs/>
              </w:rPr>
            </w:pPr>
            <w:r w:rsidRPr="004C0630">
              <w:rPr>
                <w:rFonts w:cs="Arial"/>
                <w:b/>
                <w:bCs/>
                <w:i/>
                <w:iCs/>
              </w:rPr>
              <w:t xml:space="preserve">SEND and vulnerable pupils’ needs met through targeted support and </w:t>
            </w:r>
          </w:p>
          <w:p w14:paraId="17F3A9D0" w14:textId="493AA742" w:rsidR="004C0630" w:rsidRDefault="004C0630" w:rsidP="00370AF0">
            <w:pPr>
              <w:suppressAutoHyphens w:val="0"/>
              <w:autoSpaceDN/>
              <w:rPr>
                <w:rFonts w:cs="Arial"/>
                <w:b/>
                <w:bCs/>
                <w:i/>
                <w:iCs/>
              </w:rPr>
            </w:pPr>
            <w:r w:rsidRPr="004C0630">
              <w:rPr>
                <w:rFonts w:cs="Arial"/>
                <w:b/>
                <w:bCs/>
                <w:i/>
                <w:iCs/>
              </w:rPr>
              <w:t>involvement of external agencies where appropriate.</w:t>
            </w:r>
          </w:p>
          <w:p w14:paraId="73DE3E87" w14:textId="77777777" w:rsidR="00874F3C" w:rsidRDefault="00874F3C" w:rsidP="00874F3C">
            <w:pPr>
              <w:suppressAutoHyphens w:val="0"/>
              <w:autoSpaceDN/>
              <w:rPr>
                <w:rFonts w:eastAsia="Calibri" w:cs="Arial"/>
                <w:lang w:eastAsia="en-US"/>
              </w:rPr>
            </w:pPr>
            <w:r w:rsidRPr="0037150C">
              <w:rPr>
                <w:rFonts w:eastAsia="Calibri" w:cs="Arial"/>
                <w:lang w:eastAsia="en-US"/>
              </w:rPr>
              <w:t>Overall, at the end of Key Stage One (2024/2025) the attainment of disadvantaged pupils was slightly lower than non-disadvantaged pupils in Reading, and the national standard</w:t>
            </w:r>
            <w:r>
              <w:rPr>
                <w:rFonts w:eastAsia="Calibri" w:cs="Arial"/>
                <w:lang w:eastAsia="en-US"/>
              </w:rPr>
              <w:t xml:space="preserve"> of pupils meeting the expected standard or higher was met. The attainment of disadvantaged pupils in Maths was higher than non-disadvantaged and again the national standard was met. However, in Writing the attainment of disadvantaged pupils was lower than non-disadvantaged pupils and the expected standard nationally was not met. In addition to this, in all areas the percentage of disadvantaged pupils working at Greater depth was lower than non-disadvantaged pupils. Improving attainment in Writing is a focal point of the school for all pupils.</w:t>
            </w:r>
          </w:p>
          <w:p w14:paraId="3011C345" w14:textId="77777777" w:rsidR="00874F3C" w:rsidRDefault="00874F3C" w:rsidP="00874F3C">
            <w:pPr>
              <w:suppressAutoHyphens w:val="0"/>
              <w:autoSpaceDN/>
              <w:rPr>
                <w:rFonts w:eastAsia="Calibri" w:cs="Arial"/>
                <w:lang w:eastAsia="en-US"/>
              </w:rPr>
            </w:pPr>
            <w:r>
              <w:rPr>
                <w:rFonts w:eastAsia="Calibri" w:cs="Arial"/>
                <w:lang w:eastAsia="en-US"/>
              </w:rPr>
              <w:t>Out of the 8 pupils in receipt of Pupil Premium funding in Year 2, 37.5% of these pupils also have SEND needs.</w:t>
            </w:r>
          </w:p>
          <w:p w14:paraId="347CFC38" w14:textId="3A130A1F" w:rsidR="00874F3C" w:rsidRPr="008C47EA" w:rsidRDefault="00874F3C" w:rsidP="00874F3C">
            <w:pPr>
              <w:suppressAutoHyphens w:val="0"/>
              <w:autoSpaceDN/>
              <w:rPr>
                <w:rFonts w:eastAsia="Calibri" w:cs="Arial"/>
                <w:lang w:eastAsia="en-US"/>
              </w:rPr>
            </w:pPr>
            <w:r w:rsidRPr="002A7DBF">
              <w:rPr>
                <w:rFonts w:eastAsia="Calibri" w:cs="Arial"/>
                <w:b/>
                <w:bCs/>
                <w:lang w:eastAsia="en-US"/>
              </w:rPr>
              <w:t>Assessment 2024/2025 Key Stage 1 Summer 2</w:t>
            </w:r>
            <w:r>
              <w:rPr>
                <w:rFonts w:eastAsia="Calibri" w:cs="Arial"/>
                <w:b/>
                <w:bCs/>
                <w:lang w:eastAsia="en-US"/>
              </w:rPr>
              <w:t xml:space="preserve"> </w:t>
            </w:r>
            <w:r w:rsidRPr="008C47EA">
              <w:rPr>
                <w:rFonts w:eastAsia="Calibri" w:cs="Arial"/>
                <w:lang w:eastAsia="en-US"/>
              </w:rPr>
              <w:t>(19 pupils- 42% Pupil Premium)</w:t>
            </w:r>
          </w:p>
          <w:tbl>
            <w:tblPr>
              <w:tblStyle w:val="TableGrid"/>
              <w:tblW w:w="0" w:type="auto"/>
              <w:tblLook w:val="04A0" w:firstRow="1" w:lastRow="0" w:firstColumn="1" w:lastColumn="0" w:noHBand="0" w:noVBand="1"/>
            </w:tblPr>
            <w:tblGrid>
              <w:gridCol w:w="736"/>
              <w:gridCol w:w="1276"/>
              <w:gridCol w:w="1275"/>
              <w:gridCol w:w="1134"/>
              <w:gridCol w:w="1418"/>
              <w:gridCol w:w="1276"/>
              <w:gridCol w:w="1275"/>
            </w:tblGrid>
            <w:tr w:rsidR="00874F3C" w14:paraId="6C82C37F" w14:textId="77777777" w:rsidTr="00E227AF">
              <w:tc>
                <w:tcPr>
                  <w:tcW w:w="5839" w:type="dxa"/>
                  <w:gridSpan w:val="5"/>
                </w:tcPr>
                <w:p w14:paraId="39E4B521" w14:textId="77777777" w:rsidR="00874F3C" w:rsidRPr="00F21CAE" w:rsidRDefault="00874F3C" w:rsidP="00874F3C">
                  <w:pPr>
                    <w:suppressAutoHyphens w:val="0"/>
                    <w:autoSpaceDN/>
                    <w:jc w:val="center"/>
                    <w:rPr>
                      <w:rFonts w:eastAsia="Calibri" w:cs="Arial"/>
                      <w:b/>
                      <w:bCs/>
                      <w:sz w:val="16"/>
                      <w:szCs w:val="16"/>
                      <w:lang w:eastAsia="en-US"/>
                    </w:rPr>
                  </w:pPr>
                  <w:r>
                    <w:rPr>
                      <w:rFonts w:eastAsia="Calibri" w:cs="Arial"/>
                      <w:b/>
                      <w:bCs/>
                      <w:sz w:val="16"/>
                      <w:szCs w:val="16"/>
                      <w:lang w:eastAsia="en-US"/>
                    </w:rPr>
                    <w:t>SAT Teacher assessment</w:t>
                  </w:r>
                </w:p>
              </w:tc>
              <w:tc>
                <w:tcPr>
                  <w:tcW w:w="2551" w:type="dxa"/>
                  <w:gridSpan w:val="2"/>
                </w:tcPr>
                <w:p w14:paraId="16058317" w14:textId="77777777" w:rsidR="00874F3C" w:rsidRPr="005257B2" w:rsidRDefault="00874F3C" w:rsidP="00874F3C">
                  <w:pPr>
                    <w:suppressAutoHyphens w:val="0"/>
                    <w:autoSpaceDN/>
                    <w:rPr>
                      <w:rFonts w:eastAsia="Calibri" w:cs="Arial"/>
                      <w:b/>
                      <w:bCs/>
                      <w:sz w:val="16"/>
                      <w:szCs w:val="16"/>
                      <w:lang w:eastAsia="en-US"/>
                    </w:rPr>
                  </w:pPr>
                  <w:r w:rsidRPr="005257B2">
                    <w:rPr>
                      <w:rFonts w:eastAsia="Calibri" w:cs="Arial"/>
                      <w:b/>
                      <w:bCs/>
                      <w:sz w:val="16"/>
                      <w:szCs w:val="16"/>
                      <w:lang w:eastAsia="en-US"/>
                    </w:rPr>
                    <w:t>SAT Scaled Score</w:t>
                  </w:r>
                </w:p>
              </w:tc>
            </w:tr>
            <w:tr w:rsidR="00874F3C" w14:paraId="2F0BFCD2" w14:textId="77777777" w:rsidTr="00E227AF">
              <w:tc>
                <w:tcPr>
                  <w:tcW w:w="736" w:type="dxa"/>
                  <w:vMerge w:val="restart"/>
                </w:tcPr>
                <w:p w14:paraId="6F92DD8A" w14:textId="77777777" w:rsidR="00874F3C" w:rsidRPr="00785735" w:rsidRDefault="00874F3C" w:rsidP="00874F3C">
                  <w:pPr>
                    <w:suppressAutoHyphens w:val="0"/>
                    <w:autoSpaceDN/>
                    <w:rPr>
                      <w:rFonts w:eastAsia="Calibri" w:cs="Arial"/>
                      <w:sz w:val="16"/>
                      <w:szCs w:val="16"/>
                      <w:lang w:eastAsia="en-US"/>
                    </w:rPr>
                  </w:pPr>
                </w:p>
              </w:tc>
              <w:tc>
                <w:tcPr>
                  <w:tcW w:w="1276" w:type="dxa"/>
                </w:tcPr>
                <w:p w14:paraId="7049E174" w14:textId="77777777" w:rsidR="00874F3C" w:rsidRPr="00F21CAE" w:rsidRDefault="00874F3C" w:rsidP="00874F3C">
                  <w:pPr>
                    <w:suppressAutoHyphens w:val="0"/>
                    <w:autoSpaceDN/>
                    <w:rPr>
                      <w:rFonts w:eastAsia="Calibri" w:cs="Arial"/>
                      <w:b/>
                      <w:bCs/>
                      <w:sz w:val="16"/>
                      <w:szCs w:val="16"/>
                      <w:lang w:eastAsia="en-US"/>
                    </w:rPr>
                  </w:pPr>
                  <w:r w:rsidRPr="00F21CAE">
                    <w:rPr>
                      <w:rFonts w:eastAsia="Calibri" w:cs="Arial"/>
                      <w:b/>
                      <w:bCs/>
                      <w:sz w:val="16"/>
                      <w:szCs w:val="16"/>
                      <w:lang w:eastAsia="en-US"/>
                    </w:rPr>
                    <w:t xml:space="preserve">Reading </w:t>
                  </w:r>
                </w:p>
              </w:tc>
              <w:tc>
                <w:tcPr>
                  <w:tcW w:w="1275" w:type="dxa"/>
                </w:tcPr>
                <w:p w14:paraId="5D5B15C0" w14:textId="77777777" w:rsidR="00874F3C" w:rsidRPr="00F21CAE" w:rsidRDefault="00874F3C" w:rsidP="00874F3C">
                  <w:pPr>
                    <w:suppressAutoHyphens w:val="0"/>
                    <w:autoSpaceDN/>
                    <w:rPr>
                      <w:rFonts w:eastAsia="Calibri" w:cs="Arial"/>
                      <w:b/>
                      <w:bCs/>
                      <w:sz w:val="16"/>
                      <w:szCs w:val="16"/>
                      <w:lang w:eastAsia="en-US"/>
                    </w:rPr>
                  </w:pPr>
                  <w:r w:rsidRPr="00F21CAE">
                    <w:rPr>
                      <w:rFonts w:eastAsia="Calibri" w:cs="Arial"/>
                      <w:b/>
                      <w:bCs/>
                      <w:sz w:val="16"/>
                      <w:szCs w:val="16"/>
                      <w:lang w:eastAsia="en-US"/>
                    </w:rPr>
                    <w:t xml:space="preserve">Writing </w:t>
                  </w:r>
                </w:p>
              </w:tc>
              <w:tc>
                <w:tcPr>
                  <w:tcW w:w="1134" w:type="dxa"/>
                </w:tcPr>
                <w:p w14:paraId="0A5E5546" w14:textId="77777777" w:rsidR="00874F3C" w:rsidRPr="00F21CAE" w:rsidRDefault="00874F3C" w:rsidP="00874F3C">
                  <w:pPr>
                    <w:suppressAutoHyphens w:val="0"/>
                    <w:autoSpaceDN/>
                    <w:rPr>
                      <w:rFonts w:eastAsia="Calibri" w:cs="Arial"/>
                      <w:b/>
                      <w:bCs/>
                      <w:sz w:val="16"/>
                      <w:szCs w:val="16"/>
                      <w:lang w:eastAsia="en-US"/>
                    </w:rPr>
                  </w:pPr>
                  <w:r w:rsidRPr="00F21CAE">
                    <w:rPr>
                      <w:rFonts w:eastAsia="Calibri" w:cs="Arial"/>
                      <w:b/>
                      <w:bCs/>
                      <w:sz w:val="16"/>
                      <w:szCs w:val="16"/>
                      <w:lang w:eastAsia="en-US"/>
                    </w:rPr>
                    <w:t xml:space="preserve">Maths </w:t>
                  </w:r>
                </w:p>
              </w:tc>
              <w:tc>
                <w:tcPr>
                  <w:tcW w:w="1418" w:type="dxa"/>
                </w:tcPr>
                <w:p w14:paraId="5FFA0ED5" w14:textId="77777777" w:rsidR="00874F3C" w:rsidRPr="00F21CAE" w:rsidRDefault="00874F3C" w:rsidP="00874F3C">
                  <w:pPr>
                    <w:suppressAutoHyphens w:val="0"/>
                    <w:autoSpaceDN/>
                    <w:rPr>
                      <w:rFonts w:eastAsia="Calibri" w:cs="Arial"/>
                      <w:b/>
                      <w:bCs/>
                      <w:sz w:val="16"/>
                      <w:szCs w:val="16"/>
                      <w:lang w:eastAsia="en-US"/>
                    </w:rPr>
                  </w:pPr>
                  <w:r w:rsidRPr="00F21CAE">
                    <w:rPr>
                      <w:rFonts w:eastAsia="Calibri" w:cs="Arial"/>
                      <w:b/>
                      <w:bCs/>
                      <w:sz w:val="16"/>
                      <w:szCs w:val="16"/>
                      <w:lang w:eastAsia="en-US"/>
                    </w:rPr>
                    <w:t xml:space="preserve">Science </w:t>
                  </w:r>
                </w:p>
              </w:tc>
              <w:tc>
                <w:tcPr>
                  <w:tcW w:w="1276" w:type="dxa"/>
                </w:tcPr>
                <w:p w14:paraId="1717E842" w14:textId="77777777" w:rsidR="00874F3C" w:rsidRPr="005257B2" w:rsidRDefault="00874F3C" w:rsidP="00874F3C">
                  <w:pPr>
                    <w:suppressAutoHyphens w:val="0"/>
                    <w:autoSpaceDN/>
                    <w:rPr>
                      <w:rFonts w:eastAsia="Calibri" w:cs="Arial"/>
                      <w:b/>
                      <w:bCs/>
                      <w:sz w:val="16"/>
                      <w:szCs w:val="16"/>
                      <w:lang w:eastAsia="en-US"/>
                    </w:rPr>
                  </w:pPr>
                  <w:r w:rsidRPr="005257B2">
                    <w:rPr>
                      <w:rFonts w:eastAsia="Calibri" w:cs="Arial"/>
                      <w:b/>
                      <w:bCs/>
                      <w:sz w:val="16"/>
                      <w:szCs w:val="16"/>
                      <w:lang w:eastAsia="en-US"/>
                    </w:rPr>
                    <w:t>Reading</w:t>
                  </w:r>
                </w:p>
              </w:tc>
              <w:tc>
                <w:tcPr>
                  <w:tcW w:w="1275" w:type="dxa"/>
                </w:tcPr>
                <w:p w14:paraId="0B35EE84" w14:textId="77777777" w:rsidR="00874F3C" w:rsidRPr="005257B2" w:rsidRDefault="00874F3C" w:rsidP="00874F3C">
                  <w:pPr>
                    <w:suppressAutoHyphens w:val="0"/>
                    <w:autoSpaceDN/>
                    <w:rPr>
                      <w:rFonts w:eastAsia="Calibri" w:cs="Arial"/>
                      <w:b/>
                      <w:bCs/>
                      <w:sz w:val="16"/>
                      <w:szCs w:val="16"/>
                      <w:lang w:eastAsia="en-US"/>
                    </w:rPr>
                  </w:pPr>
                  <w:r w:rsidRPr="005257B2">
                    <w:rPr>
                      <w:rFonts w:eastAsia="Calibri" w:cs="Arial"/>
                      <w:b/>
                      <w:bCs/>
                      <w:sz w:val="16"/>
                      <w:szCs w:val="16"/>
                      <w:lang w:eastAsia="en-US"/>
                    </w:rPr>
                    <w:t>Maths</w:t>
                  </w:r>
                </w:p>
              </w:tc>
            </w:tr>
            <w:tr w:rsidR="00874F3C" w14:paraId="310081A5" w14:textId="77777777" w:rsidTr="00E227AF">
              <w:tc>
                <w:tcPr>
                  <w:tcW w:w="736" w:type="dxa"/>
                  <w:vMerge/>
                </w:tcPr>
                <w:p w14:paraId="79EEC6F9" w14:textId="77777777" w:rsidR="00874F3C" w:rsidRDefault="00874F3C" w:rsidP="00874F3C">
                  <w:pPr>
                    <w:suppressAutoHyphens w:val="0"/>
                    <w:autoSpaceDN/>
                    <w:rPr>
                      <w:rFonts w:eastAsia="Calibri" w:cs="Arial"/>
                      <w:lang w:eastAsia="en-US"/>
                    </w:rPr>
                  </w:pPr>
                </w:p>
              </w:tc>
              <w:tc>
                <w:tcPr>
                  <w:tcW w:w="7654" w:type="dxa"/>
                  <w:gridSpan w:val="6"/>
                </w:tcPr>
                <w:p w14:paraId="5854319F" w14:textId="77777777" w:rsidR="00874F3C" w:rsidRDefault="00874F3C" w:rsidP="00874F3C">
                  <w:pPr>
                    <w:suppressAutoHyphens w:val="0"/>
                    <w:autoSpaceDN/>
                    <w:jc w:val="center"/>
                    <w:rPr>
                      <w:rFonts w:eastAsia="Calibri" w:cs="Arial"/>
                      <w:lang w:eastAsia="en-US"/>
                    </w:rPr>
                  </w:pPr>
                  <w:r w:rsidRPr="00F21CAE">
                    <w:rPr>
                      <w:rFonts w:eastAsia="Calibri" w:cs="Arial"/>
                      <w:b/>
                      <w:bCs/>
                      <w:sz w:val="16"/>
                      <w:szCs w:val="16"/>
                      <w:lang w:eastAsia="en-US"/>
                    </w:rPr>
                    <w:t>% of pupils Expected or higher</w:t>
                  </w:r>
                  <w:r>
                    <w:rPr>
                      <w:rFonts w:eastAsia="Calibri" w:cs="Arial"/>
                      <w:b/>
                      <w:bCs/>
                      <w:sz w:val="16"/>
                      <w:szCs w:val="16"/>
                      <w:lang w:eastAsia="en-US"/>
                    </w:rPr>
                    <w:t xml:space="preserve"> standard</w:t>
                  </w:r>
                </w:p>
              </w:tc>
            </w:tr>
            <w:tr w:rsidR="00874F3C" w14:paraId="26D67341" w14:textId="77777777" w:rsidTr="00E227AF">
              <w:tc>
                <w:tcPr>
                  <w:tcW w:w="736" w:type="dxa"/>
                </w:tcPr>
                <w:p w14:paraId="7B7A6B75" w14:textId="77777777" w:rsidR="00874F3C" w:rsidRPr="00F21CAE" w:rsidRDefault="00874F3C" w:rsidP="00874F3C">
                  <w:pPr>
                    <w:suppressAutoHyphens w:val="0"/>
                    <w:autoSpaceDN/>
                    <w:rPr>
                      <w:rFonts w:eastAsia="Calibri" w:cs="Arial"/>
                      <w:b/>
                      <w:bCs/>
                      <w:sz w:val="16"/>
                      <w:szCs w:val="16"/>
                      <w:lang w:eastAsia="en-US"/>
                    </w:rPr>
                  </w:pPr>
                  <w:r w:rsidRPr="00F21CAE">
                    <w:rPr>
                      <w:rFonts w:eastAsia="Calibri" w:cs="Arial"/>
                      <w:b/>
                      <w:bCs/>
                      <w:sz w:val="16"/>
                      <w:szCs w:val="16"/>
                      <w:lang w:eastAsia="en-US"/>
                    </w:rPr>
                    <w:t>All</w:t>
                  </w:r>
                </w:p>
              </w:tc>
              <w:tc>
                <w:tcPr>
                  <w:tcW w:w="1276" w:type="dxa"/>
                </w:tcPr>
                <w:p w14:paraId="22796383" w14:textId="77777777" w:rsidR="00874F3C" w:rsidRPr="00BF4835" w:rsidRDefault="00874F3C" w:rsidP="00874F3C">
                  <w:pPr>
                    <w:suppressAutoHyphens w:val="0"/>
                    <w:autoSpaceDN/>
                    <w:rPr>
                      <w:rFonts w:eastAsia="Calibri" w:cs="Arial"/>
                      <w:sz w:val="20"/>
                      <w:szCs w:val="20"/>
                      <w:lang w:eastAsia="en-US"/>
                    </w:rPr>
                  </w:pPr>
                  <w:r w:rsidRPr="00BF4835">
                    <w:rPr>
                      <w:rFonts w:eastAsia="Calibri" w:cs="Arial"/>
                      <w:sz w:val="20"/>
                      <w:szCs w:val="20"/>
                      <w:lang w:eastAsia="en-US"/>
                    </w:rPr>
                    <w:t>85%</w:t>
                  </w:r>
                </w:p>
              </w:tc>
              <w:tc>
                <w:tcPr>
                  <w:tcW w:w="1275" w:type="dxa"/>
                </w:tcPr>
                <w:p w14:paraId="25EB63BF" w14:textId="77777777" w:rsidR="00874F3C" w:rsidRPr="000949C2" w:rsidRDefault="00874F3C" w:rsidP="00874F3C">
                  <w:pPr>
                    <w:suppressAutoHyphens w:val="0"/>
                    <w:autoSpaceDN/>
                    <w:rPr>
                      <w:rFonts w:eastAsia="Calibri" w:cs="Arial"/>
                      <w:sz w:val="20"/>
                      <w:szCs w:val="20"/>
                      <w:lang w:eastAsia="en-US"/>
                    </w:rPr>
                  </w:pPr>
                  <w:r w:rsidRPr="000949C2">
                    <w:rPr>
                      <w:rFonts w:eastAsia="Calibri" w:cs="Arial"/>
                      <w:sz w:val="20"/>
                      <w:szCs w:val="20"/>
                      <w:lang w:eastAsia="en-US"/>
                    </w:rPr>
                    <w:t>37%</w:t>
                  </w:r>
                </w:p>
              </w:tc>
              <w:tc>
                <w:tcPr>
                  <w:tcW w:w="1134" w:type="dxa"/>
                </w:tcPr>
                <w:p w14:paraId="525E50FB" w14:textId="77777777" w:rsidR="00874F3C" w:rsidRPr="00A0005D" w:rsidRDefault="00874F3C" w:rsidP="00874F3C">
                  <w:pPr>
                    <w:suppressAutoHyphens w:val="0"/>
                    <w:autoSpaceDN/>
                    <w:rPr>
                      <w:rFonts w:eastAsia="Calibri" w:cs="Arial"/>
                      <w:sz w:val="20"/>
                      <w:szCs w:val="20"/>
                      <w:lang w:eastAsia="en-US"/>
                    </w:rPr>
                  </w:pPr>
                  <w:r w:rsidRPr="00A0005D">
                    <w:rPr>
                      <w:rFonts w:eastAsia="Calibri" w:cs="Arial"/>
                      <w:sz w:val="20"/>
                      <w:szCs w:val="20"/>
                      <w:lang w:eastAsia="en-US"/>
                    </w:rPr>
                    <w:t>73%</w:t>
                  </w:r>
                </w:p>
              </w:tc>
              <w:tc>
                <w:tcPr>
                  <w:tcW w:w="1418" w:type="dxa"/>
                </w:tcPr>
                <w:p w14:paraId="075588AD" w14:textId="77777777" w:rsidR="00874F3C" w:rsidRPr="00CA7A78" w:rsidRDefault="00874F3C" w:rsidP="00874F3C">
                  <w:pPr>
                    <w:suppressAutoHyphens w:val="0"/>
                    <w:autoSpaceDN/>
                    <w:rPr>
                      <w:rFonts w:eastAsia="Calibri" w:cs="Arial"/>
                      <w:sz w:val="20"/>
                      <w:szCs w:val="20"/>
                      <w:lang w:eastAsia="en-US"/>
                    </w:rPr>
                  </w:pPr>
                  <w:r w:rsidRPr="00CA7A78">
                    <w:rPr>
                      <w:rFonts w:eastAsia="Calibri" w:cs="Arial"/>
                      <w:sz w:val="20"/>
                      <w:szCs w:val="20"/>
                      <w:lang w:eastAsia="en-US"/>
                    </w:rPr>
                    <w:t>95%</w:t>
                  </w:r>
                </w:p>
              </w:tc>
              <w:tc>
                <w:tcPr>
                  <w:tcW w:w="1276" w:type="dxa"/>
                </w:tcPr>
                <w:p w14:paraId="77690001" w14:textId="77777777" w:rsidR="00874F3C" w:rsidRPr="00704792" w:rsidRDefault="00874F3C" w:rsidP="00874F3C">
                  <w:pPr>
                    <w:suppressAutoHyphens w:val="0"/>
                    <w:autoSpaceDN/>
                    <w:rPr>
                      <w:rFonts w:eastAsia="Calibri" w:cs="Arial"/>
                      <w:sz w:val="20"/>
                      <w:szCs w:val="20"/>
                      <w:lang w:eastAsia="en-US"/>
                    </w:rPr>
                  </w:pPr>
                  <w:r w:rsidRPr="00704792">
                    <w:rPr>
                      <w:rFonts w:eastAsia="Calibri" w:cs="Arial"/>
                      <w:sz w:val="20"/>
                      <w:szCs w:val="20"/>
                      <w:lang w:eastAsia="en-US"/>
                    </w:rPr>
                    <w:t>75%</w:t>
                  </w:r>
                </w:p>
              </w:tc>
              <w:tc>
                <w:tcPr>
                  <w:tcW w:w="1275" w:type="dxa"/>
                </w:tcPr>
                <w:p w14:paraId="1232182F" w14:textId="77777777" w:rsidR="00874F3C" w:rsidRPr="00704792" w:rsidRDefault="00874F3C" w:rsidP="00874F3C">
                  <w:pPr>
                    <w:suppressAutoHyphens w:val="0"/>
                    <w:autoSpaceDN/>
                    <w:rPr>
                      <w:rFonts w:eastAsia="Calibri" w:cs="Arial"/>
                      <w:sz w:val="20"/>
                      <w:szCs w:val="20"/>
                      <w:lang w:eastAsia="en-US"/>
                    </w:rPr>
                  </w:pPr>
                  <w:r w:rsidRPr="00704792">
                    <w:rPr>
                      <w:rFonts w:eastAsia="Calibri" w:cs="Arial"/>
                      <w:sz w:val="20"/>
                      <w:szCs w:val="20"/>
                      <w:lang w:eastAsia="en-US"/>
                    </w:rPr>
                    <w:t>79%</w:t>
                  </w:r>
                </w:p>
              </w:tc>
            </w:tr>
            <w:tr w:rsidR="00874F3C" w14:paraId="68FFCBFF" w14:textId="77777777" w:rsidTr="00E227AF">
              <w:tc>
                <w:tcPr>
                  <w:tcW w:w="736" w:type="dxa"/>
                </w:tcPr>
                <w:p w14:paraId="0C105697" w14:textId="77777777" w:rsidR="00874F3C" w:rsidRPr="00F21CAE" w:rsidRDefault="00874F3C" w:rsidP="00874F3C">
                  <w:pPr>
                    <w:suppressAutoHyphens w:val="0"/>
                    <w:autoSpaceDN/>
                    <w:rPr>
                      <w:rFonts w:eastAsia="Calibri" w:cs="Arial"/>
                      <w:b/>
                      <w:bCs/>
                      <w:sz w:val="16"/>
                      <w:szCs w:val="16"/>
                      <w:lang w:eastAsia="en-US"/>
                    </w:rPr>
                  </w:pPr>
                  <w:r w:rsidRPr="00F21CAE">
                    <w:rPr>
                      <w:rFonts w:eastAsia="Calibri" w:cs="Arial"/>
                      <w:b/>
                      <w:bCs/>
                      <w:sz w:val="16"/>
                      <w:szCs w:val="16"/>
                      <w:lang w:eastAsia="en-US"/>
                    </w:rPr>
                    <w:t>PP</w:t>
                  </w:r>
                </w:p>
              </w:tc>
              <w:tc>
                <w:tcPr>
                  <w:tcW w:w="1276" w:type="dxa"/>
                </w:tcPr>
                <w:p w14:paraId="69D68764" w14:textId="77777777" w:rsidR="00874F3C" w:rsidRPr="00786C32" w:rsidRDefault="00874F3C" w:rsidP="00874F3C">
                  <w:pPr>
                    <w:suppressAutoHyphens w:val="0"/>
                    <w:autoSpaceDN/>
                    <w:rPr>
                      <w:rFonts w:eastAsia="Calibri" w:cs="Arial"/>
                      <w:sz w:val="20"/>
                      <w:szCs w:val="20"/>
                      <w:lang w:eastAsia="en-US"/>
                    </w:rPr>
                  </w:pPr>
                  <w:r w:rsidRPr="00786C32">
                    <w:rPr>
                      <w:rFonts w:eastAsia="Calibri" w:cs="Arial"/>
                      <w:sz w:val="20"/>
                      <w:szCs w:val="20"/>
                      <w:lang w:eastAsia="en-US"/>
                    </w:rPr>
                    <w:t>76%</w:t>
                  </w:r>
                </w:p>
              </w:tc>
              <w:tc>
                <w:tcPr>
                  <w:tcW w:w="1275" w:type="dxa"/>
                </w:tcPr>
                <w:p w14:paraId="6614EB6E" w14:textId="77777777" w:rsidR="00874F3C" w:rsidRPr="000949C2" w:rsidRDefault="00874F3C" w:rsidP="00874F3C">
                  <w:pPr>
                    <w:suppressAutoHyphens w:val="0"/>
                    <w:autoSpaceDN/>
                    <w:rPr>
                      <w:rFonts w:eastAsia="Calibri" w:cs="Arial"/>
                      <w:sz w:val="20"/>
                      <w:szCs w:val="20"/>
                      <w:lang w:eastAsia="en-US"/>
                    </w:rPr>
                  </w:pPr>
                  <w:r w:rsidRPr="000949C2">
                    <w:rPr>
                      <w:rFonts w:eastAsia="Calibri" w:cs="Arial"/>
                      <w:sz w:val="20"/>
                      <w:szCs w:val="20"/>
                      <w:lang w:eastAsia="en-US"/>
                    </w:rPr>
                    <w:t>13%</w:t>
                  </w:r>
                </w:p>
              </w:tc>
              <w:tc>
                <w:tcPr>
                  <w:tcW w:w="1134" w:type="dxa"/>
                </w:tcPr>
                <w:p w14:paraId="4B98CE93" w14:textId="77777777" w:rsidR="00874F3C" w:rsidRPr="00A0005D" w:rsidRDefault="00874F3C" w:rsidP="00874F3C">
                  <w:pPr>
                    <w:suppressAutoHyphens w:val="0"/>
                    <w:autoSpaceDN/>
                    <w:rPr>
                      <w:rFonts w:eastAsia="Calibri" w:cs="Arial"/>
                      <w:sz w:val="20"/>
                      <w:szCs w:val="20"/>
                      <w:lang w:eastAsia="en-US"/>
                    </w:rPr>
                  </w:pPr>
                  <w:r w:rsidRPr="00A0005D">
                    <w:rPr>
                      <w:rFonts w:eastAsia="Calibri" w:cs="Arial"/>
                      <w:sz w:val="20"/>
                      <w:szCs w:val="20"/>
                      <w:lang w:eastAsia="en-US"/>
                    </w:rPr>
                    <w:t>76%</w:t>
                  </w:r>
                </w:p>
              </w:tc>
              <w:tc>
                <w:tcPr>
                  <w:tcW w:w="1418" w:type="dxa"/>
                </w:tcPr>
                <w:p w14:paraId="4039C1A8" w14:textId="77777777" w:rsidR="00874F3C" w:rsidRPr="00CA7A78" w:rsidRDefault="00874F3C" w:rsidP="00874F3C">
                  <w:pPr>
                    <w:suppressAutoHyphens w:val="0"/>
                    <w:autoSpaceDN/>
                    <w:rPr>
                      <w:rFonts w:eastAsia="Calibri" w:cs="Arial"/>
                      <w:sz w:val="20"/>
                      <w:szCs w:val="20"/>
                      <w:lang w:eastAsia="en-US"/>
                    </w:rPr>
                  </w:pPr>
                  <w:r w:rsidRPr="00CA7A78">
                    <w:rPr>
                      <w:rFonts w:eastAsia="Calibri" w:cs="Arial"/>
                      <w:sz w:val="20"/>
                      <w:szCs w:val="20"/>
                      <w:lang w:eastAsia="en-US"/>
                    </w:rPr>
                    <w:t>88%</w:t>
                  </w:r>
                </w:p>
              </w:tc>
              <w:tc>
                <w:tcPr>
                  <w:tcW w:w="1276" w:type="dxa"/>
                </w:tcPr>
                <w:p w14:paraId="02C72539" w14:textId="77777777" w:rsidR="00874F3C" w:rsidRPr="00704792" w:rsidRDefault="00874F3C" w:rsidP="00874F3C">
                  <w:pPr>
                    <w:suppressAutoHyphens w:val="0"/>
                    <w:autoSpaceDN/>
                    <w:rPr>
                      <w:rFonts w:eastAsia="Calibri" w:cs="Arial"/>
                      <w:sz w:val="20"/>
                      <w:szCs w:val="20"/>
                      <w:lang w:eastAsia="en-US"/>
                    </w:rPr>
                  </w:pPr>
                  <w:r w:rsidRPr="00704792">
                    <w:rPr>
                      <w:rFonts w:eastAsia="Calibri" w:cs="Arial"/>
                      <w:sz w:val="20"/>
                      <w:szCs w:val="20"/>
                      <w:lang w:eastAsia="en-US"/>
                    </w:rPr>
                    <w:t>76%</w:t>
                  </w:r>
                </w:p>
              </w:tc>
              <w:tc>
                <w:tcPr>
                  <w:tcW w:w="1275" w:type="dxa"/>
                </w:tcPr>
                <w:p w14:paraId="2CEBB15B" w14:textId="77777777" w:rsidR="00874F3C" w:rsidRPr="00704792" w:rsidRDefault="00874F3C" w:rsidP="00874F3C">
                  <w:pPr>
                    <w:suppressAutoHyphens w:val="0"/>
                    <w:autoSpaceDN/>
                    <w:rPr>
                      <w:rFonts w:eastAsia="Calibri" w:cs="Arial"/>
                      <w:sz w:val="20"/>
                      <w:szCs w:val="20"/>
                      <w:lang w:eastAsia="en-US"/>
                    </w:rPr>
                  </w:pPr>
                  <w:r w:rsidRPr="00704792">
                    <w:rPr>
                      <w:rFonts w:eastAsia="Calibri" w:cs="Arial"/>
                      <w:sz w:val="20"/>
                      <w:szCs w:val="20"/>
                      <w:lang w:eastAsia="en-US"/>
                    </w:rPr>
                    <w:t>75%</w:t>
                  </w:r>
                </w:p>
              </w:tc>
            </w:tr>
            <w:tr w:rsidR="00874F3C" w14:paraId="022E4FCF" w14:textId="77777777" w:rsidTr="00E227AF">
              <w:tc>
                <w:tcPr>
                  <w:tcW w:w="736" w:type="dxa"/>
                </w:tcPr>
                <w:p w14:paraId="3841E19C" w14:textId="77777777" w:rsidR="00874F3C" w:rsidRPr="00F21CAE" w:rsidRDefault="00874F3C" w:rsidP="00874F3C">
                  <w:pPr>
                    <w:suppressAutoHyphens w:val="0"/>
                    <w:autoSpaceDN/>
                    <w:rPr>
                      <w:rFonts w:eastAsia="Calibri" w:cs="Arial"/>
                      <w:b/>
                      <w:bCs/>
                      <w:sz w:val="16"/>
                      <w:szCs w:val="16"/>
                      <w:lang w:eastAsia="en-US"/>
                    </w:rPr>
                  </w:pPr>
                  <w:r w:rsidRPr="00F21CAE">
                    <w:rPr>
                      <w:rFonts w:eastAsia="Calibri" w:cs="Arial"/>
                      <w:b/>
                      <w:bCs/>
                      <w:sz w:val="16"/>
                      <w:szCs w:val="16"/>
                      <w:lang w:eastAsia="en-US"/>
                    </w:rPr>
                    <w:t>Not PP</w:t>
                  </w:r>
                </w:p>
              </w:tc>
              <w:tc>
                <w:tcPr>
                  <w:tcW w:w="1276" w:type="dxa"/>
                </w:tcPr>
                <w:p w14:paraId="5278EDB2" w14:textId="77777777" w:rsidR="00874F3C" w:rsidRPr="00786C32" w:rsidRDefault="00874F3C" w:rsidP="00874F3C">
                  <w:pPr>
                    <w:suppressAutoHyphens w:val="0"/>
                    <w:autoSpaceDN/>
                    <w:rPr>
                      <w:rFonts w:eastAsia="Calibri" w:cs="Arial"/>
                      <w:sz w:val="20"/>
                      <w:szCs w:val="20"/>
                      <w:lang w:eastAsia="en-US"/>
                    </w:rPr>
                  </w:pPr>
                  <w:r w:rsidRPr="00786C32">
                    <w:rPr>
                      <w:rFonts w:eastAsia="Calibri" w:cs="Arial"/>
                      <w:sz w:val="20"/>
                      <w:szCs w:val="20"/>
                      <w:lang w:eastAsia="en-US"/>
                    </w:rPr>
                    <w:t>90%</w:t>
                  </w:r>
                </w:p>
              </w:tc>
              <w:tc>
                <w:tcPr>
                  <w:tcW w:w="1275" w:type="dxa"/>
                </w:tcPr>
                <w:p w14:paraId="04439F35" w14:textId="77777777" w:rsidR="00874F3C" w:rsidRPr="000949C2" w:rsidRDefault="00874F3C" w:rsidP="00874F3C">
                  <w:pPr>
                    <w:suppressAutoHyphens w:val="0"/>
                    <w:autoSpaceDN/>
                    <w:rPr>
                      <w:rFonts w:eastAsia="Calibri" w:cs="Arial"/>
                      <w:sz w:val="20"/>
                      <w:szCs w:val="20"/>
                      <w:lang w:eastAsia="en-US"/>
                    </w:rPr>
                  </w:pPr>
                  <w:r w:rsidRPr="000949C2">
                    <w:rPr>
                      <w:rFonts w:eastAsia="Calibri" w:cs="Arial"/>
                      <w:sz w:val="20"/>
                      <w:szCs w:val="20"/>
                      <w:lang w:eastAsia="en-US"/>
                    </w:rPr>
                    <w:t>55%</w:t>
                  </w:r>
                </w:p>
              </w:tc>
              <w:tc>
                <w:tcPr>
                  <w:tcW w:w="1134" w:type="dxa"/>
                </w:tcPr>
                <w:p w14:paraId="313F6A0E" w14:textId="77777777" w:rsidR="00874F3C" w:rsidRPr="00A0005D" w:rsidRDefault="00874F3C" w:rsidP="00874F3C">
                  <w:pPr>
                    <w:suppressAutoHyphens w:val="0"/>
                    <w:autoSpaceDN/>
                    <w:rPr>
                      <w:rFonts w:eastAsia="Calibri" w:cs="Arial"/>
                      <w:sz w:val="20"/>
                      <w:szCs w:val="20"/>
                      <w:lang w:eastAsia="en-US"/>
                    </w:rPr>
                  </w:pPr>
                  <w:r w:rsidRPr="00A0005D">
                    <w:rPr>
                      <w:rFonts w:eastAsia="Calibri" w:cs="Arial"/>
                      <w:sz w:val="20"/>
                      <w:szCs w:val="20"/>
                      <w:lang w:eastAsia="en-US"/>
                    </w:rPr>
                    <w:t>72%</w:t>
                  </w:r>
                </w:p>
              </w:tc>
              <w:tc>
                <w:tcPr>
                  <w:tcW w:w="1418" w:type="dxa"/>
                </w:tcPr>
                <w:p w14:paraId="68D45E98" w14:textId="77777777" w:rsidR="00874F3C" w:rsidRPr="00CA7A78" w:rsidRDefault="00874F3C" w:rsidP="00874F3C">
                  <w:pPr>
                    <w:suppressAutoHyphens w:val="0"/>
                    <w:autoSpaceDN/>
                    <w:rPr>
                      <w:rFonts w:eastAsia="Calibri" w:cs="Arial"/>
                      <w:sz w:val="20"/>
                      <w:szCs w:val="20"/>
                      <w:lang w:eastAsia="en-US"/>
                    </w:rPr>
                  </w:pPr>
                  <w:r w:rsidRPr="00CA7A78">
                    <w:rPr>
                      <w:rFonts w:eastAsia="Calibri" w:cs="Arial"/>
                      <w:sz w:val="20"/>
                      <w:szCs w:val="20"/>
                      <w:lang w:eastAsia="en-US"/>
                    </w:rPr>
                    <w:t>100%</w:t>
                  </w:r>
                </w:p>
              </w:tc>
              <w:tc>
                <w:tcPr>
                  <w:tcW w:w="1276" w:type="dxa"/>
                </w:tcPr>
                <w:p w14:paraId="363DE04F" w14:textId="77777777" w:rsidR="00874F3C" w:rsidRPr="00704792" w:rsidRDefault="00874F3C" w:rsidP="00874F3C">
                  <w:pPr>
                    <w:suppressAutoHyphens w:val="0"/>
                    <w:autoSpaceDN/>
                    <w:rPr>
                      <w:rFonts w:eastAsia="Calibri" w:cs="Arial"/>
                      <w:sz w:val="20"/>
                      <w:szCs w:val="20"/>
                      <w:lang w:eastAsia="en-US"/>
                    </w:rPr>
                  </w:pPr>
                  <w:r w:rsidRPr="00704792">
                    <w:rPr>
                      <w:rFonts w:eastAsia="Calibri" w:cs="Arial"/>
                      <w:sz w:val="20"/>
                      <w:szCs w:val="20"/>
                      <w:lang w:eastAsia="en-US"/>
                    </w:rPr>
                    <w:t>90%</w:t>
                  </w:r>
                </w:p>
              </w:tc>
              <w:tc>
                <w:tcPr>
                  <w:tcW w:w="1275" w:type="dxa"/>
                </w:tcPr>
                <w:p w14:paraId="7ED31089" w14:textId="77777777" w:rsidR="00874F3C" w:rsidRPr="00704792" w:rsidRDefault="00874F3C" w:rsidP="00874F3C">
                  <w:pPr>
                    <w:suppressAutoHyphens w:val="0"/>
                    <w:autoSpaceDN/>
                    <w:rPr>
                      <w:rFonts w:eastAsia="Calibri" w:cs="Arial"/>
                      <w:sz w:val="20"/>
                      <w:szCs w:val="20"/>
                      <w:lang w:eastAsia="en-US"/>
                    </w:rPr>
                  </w:pPr>
                  <w:r w:rsidRPr="00704792">
                    <w:rPr>
                      <w:rFonts w:eastAsia="Calibri" w:cs="Arial"/>
                      <w:sz w:val="20"/>
                      <w:szCs w:val="20"/>
                      <w:lang w:eastAsia="en-US"/>
                    </w:rPr>
                    <w:t>82%</w:t>
                  </w:r>
                </w:p>
              </w:tc>
            </w:tr>
          </w:tbl>
          <w:p w14:paraId="4EFC1E0A" w14:textId="77777777" w:rsidR="00874F3C" w:rsidRDefault="00874F3C" w:rsidP="00874F3C">
            <w:pPr>
              <w:suppressAutoHyphens w:val="0"/>
              <w:autoSpaceDN/>
              <w:rPr>
                <w:rFonts w:eastAsia="Calibri" w:cs="Arial"/>
                <w:lang w:eastAsia="en-US"/>
              </w:rPr>
            </w:pPr>
            <w:r>
              <w:rPr>
                <w:rFonts w:eastAsia="Calibri" w:cs="Arial"/>
                <w:lang w:eastAsia="en-US"/>
              </w:rPr>
              <w:lastRenderedPageBreak/>
              <w:t>At the end of Key Stage Two (2024/2025) the attainment of disadvantaged pupils was lower than non-disadvantaged pupils in the majority of core subject areas. The SAT scaled scores in Reading were broadly in line with one another, and the teacher assessment in Science was more in line, than in other subject areas. Out of the 8 pupils in receipt of Pupil Premium, 25% were also on the SEN register.</w:t>
            </w:r>
          </w:p>
          <w:p w14:paraId="013DC74A" w14:textId="77777777" w:rsidR="00CA44E5" w:rsidRDefault="00CA44E5" w:rsidP="00874F3C">
            <w:pPr>
              <w:suppressAutoHyphens w:val="0"/>
              <w:autoSpaceDN/>
              <w:rPr>
                <w:rFonts w:eastAsia="Calibri" w:cs="Arial"/>
                <w:b/>
                <w:bCs/>
                <w:lang w:eastAsia="en-US"/>
              </w:rPr>
            </w:pPr>
          </w:p>
          <w:p w14:paraId="2D2EEE2F" w14:textId="0F4911D5" w:rsidR="00874F3C" w:rsidRDefault="00874F3C" w:rsidP="00874F3C">
            <w:pPr>
              <w:suppressAutoHyphens w:val="0"/>
              <w:autoSpaceDN/>
              <w:rPr>
                <w:rFonts w:eastAsia="Calibri" w:cs="Arial"/>
                <w:b/>
                <w:bCs/>
                <w:lang w:eastAsia="en-US"/>
              </w:rPr>
            </w:pPr>
            <w:r w:rsidRPr="002A7DBF">
              <w:rPr>
                <w:rFonts w:eastAsia="Calibri" w:cs="Arial"/>
                <w:b/>
                <w:bCs/>
                <w:lang w:eastAsia="en-US"/>
              </w:rPr>
              <w:t xml:space="preserve">Assessment 2024/2025 Key Stage </w:t>
            </w:r>
            <w:r>
              <w:rPr>
                <w:rFonts w:eastAsia="Calibri" w:cs="Arial"/>
                <w:b/>
                <w:bCs/>
                <w:lang w:eastAsia="en-US"/>
              </w:rPr>
              <w:t>2</w:t>
            </w:r>
            <w:r w:rsidRPr="002A7DBF">
              <w:rPr>
                <w:rFonts w:eastAsia="Calibri" w:cs="Arial"/>
                <w:b/>
                <w:bCs/>
                <w:lang w:eastAsia="en-US"/>
              </w:rPr>
              <w:t xml:space="preserve"> Summer 2</w:t>
            </w:r>
            <w:r w:rsidRPr="000C795C">
              <w:rPr>
                <w:rFonts w:eastAsia="Calibri" w:cs="Arial"/>
                <w:lang w:eastAsia="en-US"/>
              </w:rPr>
              <w:t xml:space="preserve"> (15 pupils- 53% Pupil Premium)</w:t>
            </w:r>
          </w:p>
          <w:tbl>
            <w:tblPr>
              <w:tblStyle w:val="TableGrid"/>
              <w:tblW w:w="0" w:type="auto"/>
              <w:tblLook w:val="04A0" w:firstRow="1" w:lastRow="0" w:firstColumn="1" w:lastColumn="0" w:noHBand="0" w:noVBand="1"/>
            </w:tblPr>
            <w:tblGrid>
              <w:gridCol w:w="736"/>
              <w:gridCol w:w="1276"/>
              <w:gridCol w:w="1275"/>
              <w:gridCol w:w="1134"/>
              <w:gridCol w:w="1418"/>
              <w:gridCol w:w="1276"/>
              <w:gridCol w:w="1275"/>
            </w:tblGrid>
            <w:tr w:rsidR="00874F3C" w14:paraId="37CEDBC7" w14:textId="77777777" w:rsidTr="00E227AF">
              <w:trPr>
                <w:trHeight w:val="458"/>
              </w:trPr>
              <w:tc>
                <w:tcPr>
                  <w:tcW w:w="5839" w:type="dxa"/>
                  <w:gridSpan w:val="5"/>
                </w:tcPr>
                <w:p w14:paraId="7C744C73" w14:textId="77777777" w:rsidR="00874F3C" w:rsidRPr="00F21CAE" w:rsidRDefault="00874F3C" w:rsidP="00874F3C">
                  <w:pPr>
                    <w:suppressAutoHyphens w:val="0"/>
                    <w:autoSpaceDN/>
                    <w:jc w:val="center"/>
                    <w:rPr>
                      <w:rFonts w:eastAsia="Calibri" w:cs="Arial"/>
                      <w:b/>
                      <w:bCs/>
                      <w:sz w:val="16"/>
                      <w:szCs w:val="16"/>
                      <w:lang w:eastAsia="en-US"/>
                    </w:rPr>
                  </w:pPr>
                  <w:r>
                    <w:rPr>
                      <w:rFonts w:eastAsia="Calibri" w:cs="Arial"/>
                      <w:b/>
                      <w:bCs/>
                      <w:sz w:val="16"/>
                      <w:szCs w:val="16"/>
                      <w:lang w:eastAsia="en-US"/>
                    </w:rPr>
                    <w:t>SAT Teacher assessment</w:t>
                  </w:r>
                </w:p>
              </w:tc>
              <w:tc>
                <w:tcPr>
                  <w:tcW w:w="2551" w:type="dxa"/>
                  <w:gridSpan w:val="2"/>
                </w:tcPr>
                <w:p w14:paraId="14A5CDA4" w14:textId="77777777" w:rsidR="00874F3C" w:rsidRPr="005257B2" w:rsidRDefault="00874F3C" w:rsidP="00874F3C">
                  <w:pPr>
                    <w:suppressAutoHyphens w:val="0"/>
                    <w:autoSpaceDN/>
                    <w:rPr>
                      <w:rFonts w:eastAsia="Calibri" w:cs="Arial"/>
                      <w:b/>
                      <w:bCs/>
                      <w:sz w:val="16"/>
                      <w:szCs w:val="16"/>
                      <w:lang w:eastAsia="en-US"/>
                    </w:rPr>
                  </w:pPr>
                  <w:r w:rsidRPr="005257B2">
                    <w:rPr>
                      <w:rFonts w:eastAsia="Calibri" w:cs="Arial"/>
                      <w:b/>
                      <w:bCs/>
                      <w:sz w:val="16"/>
                      <w:szCs w:val="16"/>
                      <w:lang w:eastAsia="en-US"/>
                    </w:rPr>
                    <w:t>SAT Scaled Score</w:t>
                  </w:r>
                </w:p>
              </w:tc>
            </w:tr>
            <w:tr w:rsidR="00874F3C" w14:paraId="263F7E94" w14:textId="77777777" w:rsidTr="00E227AF">
              <w:trPr>
                <w:trHeight w:val="458"/>
              </w:trPr>
              <w:tc>
                <w:tcPr>
                  <w:tcW w:w="736" w:type="dxa"/>
                  <w:vMerge w:val="restart"/>
                </w:tcPr>
                <w:p w14:paraId="15D23AE9" w14:textId="77777777" w:rsidR="00874F3C" w:rsidRDefault="00874F3C" w:rsidP="00874F3C">
                  <w:pPr>
                    <w:suppressAutoHyphens w:val="0"/>
                    <w:autoSpaceDN/>
                    <w:rPr>
                      <w:rFonts w:eastAsia="Calibri" w:cs="Arial"/>
                      <w:lang w:eastAsia="en-US"/>
                    </w:rPr>
                  </w:pPr>
                </w:p>
              </w:tc>
              <w:tc>
                <w:tcPr>
                  <w:tcW w:w="1276" w:type="dxa"/>
                </w:tcPr>
                <w:p w14:paraId="3D2AB969" w14:textId="77777777" w:rsidR="00874F3C" w:rsidRPr="00F21CAE" w:rsidRDefault="00874F3C" w:rsidP="00874F3C">
                  <w:pPr>
                    <w:suppressAutoHyphens w:val="0"/>
                    <w:autoSpaceDN/>
                    <w:rPr>
                      <w:rFonts w:eastAsia="Calibri" w:cs="Arial"/>
                      <w:b/>
                      <w:bCs/>
                      <w:sz w:val="16"/>
                      <w:szCs w:val="16"/>
                      <w:lang w:eastAsia="en-US"/>
                    </w:rPr>
                  </w:pPr>
                  <w:r w:rsidRPr="00F21CAE">
                    <w:rPr>
                      <w:rFonts w:eastAsia="Calibri" w:cs="Arial"/>
                      <w:b/>
                      <w:bCs/>
                      <w:sz w:val="16"/>
                      <w:szCs w:val="16"/>
                      <w:lang w:eastAsia="en-US"/>
                    </w:rPr>
                    <w:t xml:space="preserve">Reading </w:t>
                  </w:r>
                </w:p>
              </w:tc>
              <w:tc>
                <w:tcPr>
                  <w:tcW w:w="1275" w:type="dxa"/>
                </w:tcPr>
                <w:p w14:paraId="2B17D6E6" w14:textId="77777777" w:rsidR="00874F3C" w:rsidRPr="00F21CAE" w:rsidRDefault="00874F3C" w:rsidP="00874F3C">
                  <w:pPr>
                    <w:suppressAutoHyphens w:val="0"/>
                    <w:autoSpaceDN/>
                    <w:rPr>
                      <w:rFonts w:eastAsia="Calibri" w:cs="Arial"/>
                      <w:b/>
                      <w:bCs/>
                      <w:sz w:val="16"/>
                      <w:szCs w:val="16"/>
                      <w:lang w:eastAsia="en-US"/>
                    </w:rPr>
                  </w:pPr>
                  <w:r w:rsidRPr="00F21CAE">
                    <w:rPr>
                      <w:rFonts w:eastAsia="Calibri" w:cs="Arial"/>
                      <w:b/>
                      <w:bCs/>
                      <w:sz w:val="16"/>
                      <w:szCs w:val="16"/>
                      <w:lang w:eastAsia="en-US"/>
                    </w:rPr>
                    <w:t xml:space="preserve">Writing </w:t>
                  </w:r>
                </w:p>
              </w:tc>
              <w:tc>
                <w:tcPr>
                  <w:tcW w:w="1134" w:type="dxa"/>
                </w:tcPr>
                <w:p w14:paraId="4C9C02A8" w14:textId="77777777" w:rsidR="00874F3C" w:rsidRPr="00F21CAE" w:rsidRDefault="00874F3C" w:rsidP="00874F3C">
                  <w:pPr>
                    <w:suppressAutoHyphens w:val="0"/>
                    <w:autoSpaceDN/>
                    <w:rPr>
                      <w:rFonts w:eastAsia="Calibri" w:cs="Arial"/>
                      <w:b/>
                      <w:bCs/>
                      <w:sz w:val="16"/>
                      <w:szCs w:val="16"/>
                      <w:lang w:eastAsia="en-US"/>
                    </w:rPr>
                  </w:pPr>
                  <w:r w:rsidRPr="00F21CAE">
                    <w:rPr>
                      <w:rFonts w:eastAsia="Calibri" w:cs="Arial"/>
                      <w:b/>
                      <w:bCs/>
                      <w:sz w:val="16"/>
                      <w:szCs w:val="16"/>
                      <w:lang w:eastAsia="en-US"/>
                    </w:rPr>
                    <w:t xml:space="preserve">Maths </w:t>
                  </w:r>
                </w:p>
              </w:tc>
              <w:tc>
                <w:tcPr>
                  <w:tcW w:w="1418" w:type="dxa"/>
                </w:tcPr>
                <w:p w14:paraId="181EBD5A" w14:textId="77777777" w:rsidR="00874F3C" w:rsidRPr="00F21CAE" w:rsidRDefault="00874F3C" w:rsidP="00874F3C">
                  <w:pPr>
                    <w:suppressAutoHyphens w:val="0"/>
                    <w:autoSpaceDN/>
                    <w:rPr>
                      <w:rFonts w:eastAsia="Calibri" w:cs="Arial"/>
                      <w:b/>
                      <w:bCs/>
                      <w:sz w:val="16"/>
                      <w:szCs w:val="16"/>
                      <w:lang w:eastAsia="en-US"/>
                    </w:rPr>
                  </w:pPr>
                  <w:r w:rsidRPr="00F21CAE">
                    <w:rPr>
                      <w:rFonts w:eastAsia="Calibri" w:cs="Arial"/>
                      <w:b/>
                      <w:bCs/>
                      <w:sz w:val="16"/>
                      <w:szCs w:val="16"/>
                      <w:lang w:eastAsia="en-US"/>
                    </w:rPr>
                    <w:t xml:space="preserve">Science </w:t>
                  </w:r>
                </w:p>
              </w:tc>
              <w:tc>
                <w:tcPr>
                  <w:tcW w:w="1276" w:type="dxa"/>
                </w:tcPr>
                <w:p w14:paraId="6E52E2C2" w14:textId="77777777" w:rsidR="00874F3C" w:rsidRPr="005257B2" w:rsidRDefault="00874F3C" w:rsidP="00874F3C">
                  <w:pPr>
                    <w:suppressAutoHyphens w:val="0"/>
                    <w:autoSpaceDN/>
                    <w:rPr>
                      <w:rFonts w:eastAsia="Calibri" w:cs="Arial"/>
                      <w:b/>
                      <w:bCs/>
                      <w:sz w:val="16"/>
                      <w:szCs w:val="16"/>
                      <w:lang w:eastAsia="en-US"/>
                    </w:rPr>
                  </w:pPr>
                  <w:r w:rsidRPr="005257B2">
                    <w:rPr>
                      <w:rFonts w:eastAsia="Calibri" w:cs="Arial"/>
                      <w:b/>
                      <w:bCs/>
                      <w:sz w:val="16"/>
                      <w:szCs w:val="16"/>
                      <w:lang w:eastAsia="en-US"/>
                    </w:rPr>
                    <w:t>Reading</w:t>
                  </w:r>
                </w:p>
              </w:tc>
              <w:tc>
                <w:tcPr>
                  <w:tcW w:w="1275" w:type="dxa"/>
                </w:tcPr>
                <w:p w14:paraId="7CD22E19" w14:textId="77777777" w:rsidR="00874F3C" w:rsidRPr="005257B2" w:rsidRDefault="00874F3C" w:rsidP="00874F3C">
                  <w:pPr>
                    <w:suppressAutoHyphens w:val="0"/>
                    <w:autoSpaceDN/>
                    <w:rPr>
                      <w:rFonts w:eastAsia="Calibri" w:cs="Arial"/>
                      <w:b/>
                      <w:bCs/>
                      <w:sz w:val="16"/>
                      <w:szCs w:val="16"/>
                      <w:lang w:eastAsia="en-US"/>
                    </w:rPr>
                  </w:pPr>
                  <w:r w:rsidRPr="005257B2">
                    <w:rPr>
                      <w:rFonts w:eastAsia="Calibri" w:cs="Arial"/>
                      <w:b/>
                      <w:bCs/>
                      <w:sz w:val="16"/>
                      <w:szCs w:val="16"/>
                      <w:lang w:eastAsia="en-US"/>
                    </w:rPr>
                    <w:t>Maths</w:t>
                  </w:r>
                </w:p>
              </w:tc>
            </w:tr>
            <w:tr w:rsidR="00874F3C" w14:paraId="4773D136" w14:textId="77777777" w:rsidTr="00E227AF">
              <w:trPr>
                <w:trHeight w:val="458"/>
              </w:trPr>
              <w:tc>
                <w:tcPr>
                  <w:tcW w:w="736" w:type="dxa"/>
                  <w:vMerge/>
                </w:tcPr>
                <w:p w14:paraId="6CE7B33A" w14:textId="77777777" w:rsidR="00874F3C" w:rsidRDefault="00874F3C" w:rsidP="00874F3C">
                  <w:pPr>
                    <w:suppressAutoHyphens w:val="0"/>
                    <w:autoSpaceDN/>
                    <w:rPr>
                      <w:rFonts w:eastAsia="Calibri" w:cs="Arial"/>
                      <w:lang w:eastAsia="en-US"/>
                    </w:rPr>
                  </w:pPr>
                </w:p>
              </w:tc>
              <w:tc>
                <w:tcPr>
                  <w:tcW w:w="7654" w:type="dxa"/>
                  <w:gridSpan w:val="6"/>
                </w:tcPr>
                <w:p w14:paraId="0FD3B282" w14:textId="77777777" w:rsidR="00874F3C" w:rsidRDefault="00874F3C" w:rsidP="00874F3C">
                  <w:pPr>
                    <w:suppressAutoHyphens w:val="0"/>
                    <w:autoSpaceDN/>
                    <w:jc w:val="center"/>
                    <w:rPr>
                      <w:rFonts w:eastAsia="Calibri" w:cs="Arial"/>
                      <w:lang w:eastAsia="en-US"/>
                    </w:rPr>
                  </w:pPr>
                  <w:r w:rsidRPr="00F21CAE">
                    <w:rPr>
                      <w:rFonts w:eastAsia="Calibri" w:cs="Arial"/>
                      <w:b/>
                      <w:bCs/>
                      <w:sz w:val="16"/>
                      <w:szCs w:val="16"/>
                      <w:lang w:eastAsia="en-US"/>
                    </w:rPr>
                    <w:t>% of pupils Expected or higher</w:t>
                  </w:r>
                  <w:r>
                    <w:rPr>
                      <w:rFonts w:eastAsia="Calibri" w:cs="Arial"/>
                      <w:b/>
                      <w:bCs/>
                      <w:sz w:val="16"/>
                      <w:szCs w:val="16"/>
                      <w:lang w:eastAsia="en-US"/>
                    </w:rPr>
                    <w:t xml:space="preserve"> standard</w:t>
                  </w:r>
                </w:p>
              </w:tc>
            </w:tr>
            <w:tr w:rsidR="00874F3C" w14:paraId="3E547A0C" w14:textId="77777777" w:rsidTr="00E227AF">
              <w:trPr>
                <w:trHeight w:val="518"/>
              </w:trPr>
              <w:tc>
                <w:tcPr>
                  <w:tcW w:w="736" w:type="dxa"/>
                </w:tcPr>
                <w:p w14:paraId="412DCFFF" w14:textId="77777777" w:rsidR="00874F3C" w:rsidRPr="00F21CAE" w:rsidRDefault="00874F3C" w:rsidP="00874F3C">
                  <w:pPr>
                    <w:suppressAutoHyphens w:val="0"/>
                    <w:autoSpaceDN/>
                    <w:rPr>
                      <w:rFonts w:eastAsia="Calibri" w:cs="Arial"/>
                      <w:b/>
                      <w:bCs/>
                      <w:sz w:val="16"/>
                      <w:szCs w:val="16"/>
                      <w:lang w:eastAsia="en-US"/>
                    </w:rPr>
                  </w:pPr>
                  <w:r w:rsidRPr="00F21CAE">
                    <w:rPr>
                      <w:rFonts w:eastAsia="Calibri" w:cs="Arial"/>
                      <w:b/>
                      <w:bCs/>
                      <w:sz w:val="16"/>
                      <w:szCs w:val="16"/>
                      <w:lang w:eastAsia="en-US"/>
                    </w:rPr>
                    <w:t>All</w:t>
                  </w:r>
                </w:p>
              </w:tc>
              <w:tc>
                <w:tcPr>
                  <w:tcW w:w="1276" w:type="dxa"/>
                  <w:shd w:val="clear" w:color="auto" w:fill="4F81BD" w:themeFill="accent1"/>
                </w:tcPr>
                <w:p w14:paraId="15913923" w14:textId="77777777" w:rsidR="00874F3C" w:rsidRPr="00BF4835" w:rsidRDefault="00874F3C" w:rsidP="00874F3C">
                  <w:pPr>
                    <w:suppressAutoHyphens w:val="0"/>
                    <w:autoSpaceDN/>
                    <w:rPr>
                      <w:rFonts w:eastAsia="Calibri" w:cs="Arial"/>
                      <w:sz w:val="20"/>
                      <w:szCs w:val="20"/>
                      <w:lang w:eastAsia="en-US"/>
                    </w:rPr>
                  </w:pPr>
                </w:p>
              </w:tc>
              <w:tc>
                <w:tcPr>
                  <w:tcW w:w="1275" w:type="dxa"/>
                </w:tcPr>
                <w:p w14:paraId="7F49C2D6" w14:textId="77777777" w:rsidR="00874F3C" w:rsidRPr="000949C2" w:rsidRDefault="00874F3C" w:rsidP="00874F3C">
                  <w:pPr>
                    <w:suppressAutoHyphens w:val="0"/>
                    <w:autoSpaceDN/>
                    <w:rPr>
                      <w:rFonts w:eastAsia="Calibri" w:cs="Arial"/>
                      <w:sz w:val="20"/>
                      <w:szCs w:val="20"/>
                      <w:lang w:eastAsia="en-US"/>
                    </w:rPr>
                  </w:pPr>
                  <w:r>
                    <w:rPr>
                      <w:rFonts w:eastAsia="Calibri" w:cs="Arial"/>
                      <w:sz w:val="20"/>
                      <w:szCs w:val="20"/>
                      <w:lang w:eastAsia="en-US"/>
                    </w:rPr>
                    <w:t>53%</w:t>
                  </w:r>
                </w:p>
              </w:tc>
              <w:tc>
                <w:tcPr>
                  <w:tcW w:w="1134" w:type="dxa"/>
                  <w:shd w:val="clear" w:color="auto" w:fill="4F81BD" w:themeFill="accent1"/>
                </w:tcPr>
                <w:p w14:paraId="4BC484C0" w14:textId="77777777" w:rsidR="00874F3C" w:rsidRPr="00A0005D" w:rsidRDefault="00874F3C" w:rsidP="00874F3C">
                  <w:pPr>
                    <w:suppressAutoHyphens w:val="0"/>
                    <w:autoSpaceDN/>
                    <w:rPr>
                      <w:rFonts w:eastAsia="Calibri" w:cs="Arial"/>
                      <w:sz w:val="20"/>
                      <w:szCs w:val="20"/>
                      <w:lang w:eastAsia="en-US"/>
                    </w:rPr>
                  </w:pPr>
                </w:p>
              </w:tc>
              <w:tc>
                <w:tcPr>
                  <w:tcW w:w="1418" w:type="dxa"/>
                </w:tcPr>
                <w:p w14:paraId="4D25A113" w14:textId="77777777" w:rsidR="00874F3C" w:rsidRPr="00CA7A78" w:rsidRDefault="00874F3C" w:rsidP="00874F3C">
                  <w:pPr>
                    <w:suppressAutoHyphens w:val="0"/>
                    <w:autoSpaceDN/>
                    <w:rPr>
                      <w:rFonts w:eastAsia="Calibri" w:cs="Arial"/>
                      <w:sz w:val="20"/>
                      <w:szCs w:val="20"/>
                      <w:lang w:eastAsia="en-US"/>
                    </w:rPr>
                  </w:pPr>
                  <w:r>
                    <w:rPr>
                      <w:rFonts w:eastAsia="Calibri" w:cs="Arial"/>
                      <w:sz w:val="20"/>
                      <w:szCs w:val="20"/>
                      <w:lang w:eastAsia="en-US"/>
                    </w:rPr>
                    <w:t>73%</w:t>
                  </w:r>
                </w:p>
              </w:tc>
              <w:tc>
                <w:tcPr>
                  <w:tcW w:w="1276" w:type="dxa"/>
                </w:tcPr>
                <w:p w14:paraId="37A14240" w14:textId="77777777" w:rsidR="00874F3C" w:rsidRPr="00704792" w:rsidRDefault="00874F3C" w:rsidP="00874F3C">
                  <w:pPr>
                    <w:suppressAutoHyphens w:val="0"/>
                    <w:autoSpaceDN/>
                    <w:rPr>
                      <w:rFonts w:eastAsia="Calibri" w:cs="Arial"/>
                      <w:sz w:val="20"/>
                      <w:szCs w:val="20"/>
                      <w:lang w:eastAsia="en-US"/>
                    </w:rPr>
                  </w:pPr>
                  <w:r>
                    <w:rPr>
                      <w:rFonts w:eastAsia="Calibri" w:cs="Arial"/>
                      <w:sz w:val="20"/>
                      <w:szCs w:val="20"/>
                      <w:lang w:eastAsia="en-US"/>
                    </w:rPr>
                    <w:t>67%</w:t>
                  </w:r>
                </w:p>
              </w:tc>
              <w:tc>
                <w:tcPr>
                  <w:tcW w:w="1275" w:type="dxa"/>
                </w:tcPr>
                <w:p w14:paraId="40775DC1" w14:textId="77777777" w:rsidR="00874F3C" w:rsidRPr="00704792" w:rsidRDefault="00874F3C" w:rsidP="00874F3C">
                  <w:pPr>
                    <w:suppressAutoHyphens w:val="0"/>
                    <w:autoSpaceDN/>
                    <w:rPr>
                      <w:rFonts w:eastAsia="Calibri" w:cs="Arial"/>
                      <w:sz w:val="20"/>
                      <w:szCs w:val="20"/>
                      <w:lang w:eastAsia="en-US"/>
                    </w:rPr>
                  </w:pPr>
                  <w:r>
                    <w:rPr>
                      <w:rFonts w:eastAsia="Calibri" w:cs="Arial"/>
                      <w:sz w:val="20"/>
                      <w:szCs w:val="20"/>
                      <w:lang w:eastAsia="en-US"/>
                    </w:rPr>
                    <w:t>40%</w:t>
                  </w:r>
                </w:p>
              </w:tc>
            </w:tr>
            <w:tr w:rsidR="00874F3C" w14:paraId="320CF1CE" w14:textId="77777777" w:rsidTr="00E227AF">
              <w:trPr>
                <w:trHeight w:val="508"/>
              </w:trPr>
              <w:tc>
                <w:tcPr>
                  <w:tcW w:w="736" w:type="dxa"/>
                </w:tcPr>
                <w:p w14:paraId="49DAFC65" w14:textId="77777777" w:rsidR="00874F3C" w:rsidRPr="00F21CAE" w:rsidRDefault="00874F3C" w:rsidP="00874F3C">
                  <w:pPr>
                    <w:suppressAutoHyphens w:val="0"/>
                    <w:autoSpaceDN/>
                    <w:rPr>
                      <w:rFonts w:eastAsia="Calibri" w:cs="Arial"/>
                      <w:b/>
                      <w:bCs/>
                      <w:sz w:val="16"/>
                      <w:szCs w:val="16"/>
                      <w:lang w:eastAsia="en-US"/>
                    </w:rPr>
                  </w:pPr>
                  <w:r w:rsidRPr="00F21CAE">
                    <w:rPr>
                      <w:rFonts w:eastAsia="Calibri" w:cs="Arial"/>
                      <w:b/>
                      <w:bCs/>
                      <w:sz w:val="16"/>
                      <w:szCs w:val="16"/>
                      <w:lang w:eastAsia="en-US"/>
                    </w:rPr>
                    <w:t>PP</w:t>
                  </w:r>
                </w:p>
              </w:tc>
              <w:tc>
                <w:tcPr>
                  <w:tcW w:w="1276" w:type="dxa"/>
                  <w:shd w:val="clear" w:color="auto" w:fill="4F81BD" w:themeFill="accent1"/>
                </w:tcPr>
                <w:p w14:paraId="711186F4" w14:textId="77777777" w:rsidR="00874F3C" w:rsidRPr="00786C32" w:rsidRDefault="00874F3C" w:rsidP="00874F3C">
                  <w:pPr>
                    <w:suppressAutoHyphens w:val="0"/>
                    <w:autoSpaceDN/>
                    <w:rPr>
                      <w:rFonts w:eastAsia="Calibri" w:cs="Arial"/>
                      <w:sz w:val="20"/>
                      <w:szCs w:val="20"/>
                      <w:lang w:eastAsia="en-US"/>
                    </w:rPr>
                  </w:pPr>
                </w:p>
              </w:tc>
              <w:tc>
                <w:tcPr>
                  <w:tcW w:w="1275" w:type="dxa"/>
                </w:tcPr>
                <w:p w14:paraId="48733DCB" w14:textId="77777777" w:rsidR="00874F3C" w:rsidRPr="000949C2" w:rsidRDefault="00874F3C" w:rsidP="00874F3C">
                  <w:pPr>
                    <w:suppressAutoHyphens w:val="0"/>
                    <w:autoSpaceDN/>
                    <w:rPr>
                      <w:rFonts w:eastAsia="Calibri" w:cs="Arial"/>
                      <w:sz w:val="20"/>
                      <w:szCs w:val="20"/>
                      <w:lang w:eastAsia="en-US"/>
                    </w:rPr>
                  </w:pPr>
                  <w:r>
                    <w:rPr>
                      <w:rFonts w:eastAsia="Calibri" w:cs="Arial"/>
                      <w:sz w:val="20"/>
                      <w:szCs w:val="20"/>
                      <w:lang w:eastAsia="en-US"/>
                    </w:rPr>
                    <w:t>38%</w:t>
                  </w:r>
                </w:p>
              </w:tc>
              <w:tc>
                <w:tcPr>
                  <w:tcW w:w="1134" w:type="dxa"/>
                  <w:shd w:val="clear" w:color="auto" w:fill="4F81BD" w:themeFill="accent1"/>
                </w:tcPr>
                <w:p w14:paraId="08167808" w14:textId="77777777" w:rsidR="00874F3C" w:rsidRPr="00A0005D" w:rsidRDefault="00874F3C" w:rsidP="00874F3C">
                  <w:pPr>
                    <w:suppressAutoHyphens w:val="0"/>
                    <w:autoSpaceDN/>
                    <w:rPr>
                      <w:rFonts w:eastAsia="Calibri" w:cs="Arial"/>
                      <w:sz w:val="20"/>
                      <w:szCs w:val="20"/>
                      <w:lang w:eastAsia="en-US"/>
                    </w:rPr>
                  </w:pPr>
                </w:p>
              </w:tc>
              <w:tc>
                <w:tcPr>
                  <w:tcW w:w="1418" w:type="dxa"/>
                </w:tcPr>
                <w:p w14:paraId="610771DE" w14:textId="77777777" w:rsidR="00874F3C" w:rsidRPr="00CA7A78" w:rsidRDefault="00874F3C" w:rsidP="00874F3C">
                  <w:pPr>
                    <w:suppressAutoHyphens w:val="0"/>
                    <w:autoSpaceDN/>
                    <w:rPr>
                      <w:rFonts w:eastAsia="Calibri" w:cs="Arial"/>
                      <w:sz w:val="20"/>
                      <w:szCs w:val="20"/>
                      <w:lang w:eastAsia="en-US"/>
                    </w:rPr>
                  </w:pPr>
                  <w:r>
                    <w:rPr>
                      <w:rFonts w:eastAsia="Calibri" w:cs="Arial"/>
                      <w:sz w:val="20"/>
                      <w:szCs w:val="20"/>
                      <w:lang w:eastAsia="en-US"/>
                    </w:rPr>
                    <w:t>63%</w:t>
                  </w:r>
                </w:p>
              </w:tc>
              <w:tc>
                <w:tcPr>
                  <w:tcW w:w="1276" w:type="dxa"/>
                </w:tcPr>
                <w:p w14:paraId="75A83CDE" w14:textId="77777777" w:rsidR="00874F3C" w:rsidRPr="00704792" w:rsidRDefault="00874F3C" w:rsidP="00874F3C">
                  <w:pPr>
                    <w:suppressAutoHyphens w:val="0"/>
                    <w:autoSpaceDN/>
                    <w:rPr>
                      <w:rFonts w:eastAsia="Calibri" w:cs="Arial"/>
                      <w:sz w:val="20"/>
                      <w:szCs w:val="20"/>
                      <w:lang w:eastAsia="en-US"/>
                    </w:rPr>
                  </w:pPr>
                  <w:r>
                    <w:rPr>
                      <w:rFonts w:eastAsia="Calibri" w:cs="Arial"/>
                      <w:sz w:val="20"/>
                      <w:szCs w:val="20"/>
                      <w:lang w:eastAsia="en-US"/>
                    </w:rPr>
                    <w:t>63%</w:t>
                  </w:r>
                </w:p>
              </w:tc>
              <w:tc>
                <w:tcPr>
                  <w:tcW w:w="1275" w:type="dxa"/>
                </w:tcPr>
                <w:p w14:paraId="52340E14" w14:textId="77777777" w:rsidR="00874F3C" w:rsidRPr="00704792" w:rsidRDefault="00874F3C" w:rsidP="00874F3C">
                  <w:pPr>
                    <w:suppressAutoHyphens w:val="0"/>
                    <w:autoSpaceDN/>
                    <w:rPr>
                      <w:rFonts w:eastAsia="Calibri" w:cs="Arial"/>
                      <w:sz w:val="20"/>
                      <w:szCs w:val="20"/>
                      <w:lang w:eastAsia="en-US"/>
                    </w:rPr>
                  </w:pPr>
                  <w:r>
                    <w:rPr>
                      <w:rFonts w:eastAsia="Calibri" w:cs="Arial"/>
                      <w:sz w:val="20"/>
                      <w:szCs w:val="20"/>
                      <w:lang w:eastAsia="en-US"/>
                    </w:rPr>
                    <w:t>26%</w:t>
                  </w:r>
                </w:p>
              </w:tc>
            </w:tr>
            <w:tr w:rsidR="00874F3C" w14:paraId="245F3D21" w14:textId="77777777" w:rsidTr="00E227AF">
              <w:trPr>
                <w:trHeight w:val="453"/>
              </w:trPr>
              <w:tc>
                <w:tcPr>
                  <w:tcW w:w="736" w:type="dxa"/>
                </w:tcPr>
                <w:p w14:paraId="35A52BD3" w14:textId="77777777" w:rsidR="00874F3C" w:rsidRPr="00F21CAE" w:rsidRDefault="00874F3C" w:rsidP="00874F3C">
                  <w:pPr>
                    <w:suppressAutoHyphens w:val="0"/>
                    <w:autoSpaceDN/>
                    <w:rPr>
                      <w:rFonts w:eastAsia="Calibri" w:cs="Arial"/>
                      <w:b/>
                      <w:bCs/>
                      <w:sz w:val="16"/>
                      <w:szCs w:val="16"/>
                      <w:lang w:eastAsia="en-US"/>
                    </w:rPr>
                  </w:pPr>
                  <w:r w:rsidRPr="00F21CAE">
                    <w:rPr>
                      <w:rFonts w:eastAsia="Calibri" w:cs="Arial"/>
                      <w:b/>
                      <w:bCs/>
                      <w:sz w:val="16"/>
                      <w:szCs w:val="16"/>
                      <w:lang w:eastAsia="en-US"/>
                    </w:rPr>
                    <w:t>Not PP</w:t>
                  </w:r>
                </w:p>
              </w:tc>
              <w:tc>
                <w:tcPr>
                  <w:tcW w:w="1276" w:type="dxa"/>
                  <w:shd w:val="clear" w:color="auto" w:fill="4F81BD" w:themeFill="accent1"/>
                </w:tcPr>
                <w:p w14:paraId="1C8F1C24" w14:textId="77777777" w:rsidR="00874F3C" w:rsidRPr="00786C32" w:rsidRDefault="00874F3C" w:rsidP="00874F3C">
                  <w:pPr>
                    <w:suppressAutoHyphens w:val="0"/>
                    <w:autoSpaceDN/>
                    <w:rPr>
                      <w:rFonts w:eastAsia="Calibri" w:cs="Arial"/>
                      <w:sz w:val="20"/>
                      <w:szCs w:val="20"/>
                      <w:lang w:eastAsia="en-US"/>
                    </w:rPr>
                  </w:pPr>
                </w:p>
              </w:tc>
              <w:tc>
                <w:tcPr>
                  <w:tcW w:w="1275" w:type="dxa"/>
                </w:tcPr>
                <w:p w14:paraId="3937466E" w14:textId="77777777" w:rsidR="00874F3C" w:rsidRPr="000949C2" w:rsidRDefault="00874F3C" w:rsidP="00874F3C">
                  <w:pPr>
                    <w:suppressAutoHyphens w:val="0"/>
                    <w:autoSpaceDN/>
                    <w:rPr>
                      <w:rFonts w:eastAsia="Calibri" w:cs="Arial"/>
                      <w:sz w:val="20"/>
                      <w:szCs w:val="20"/>
                      <w:lang w:eastAsia="en-US"/>
                    </w:rPr>
                  </w:pPr>
                  <w:r>
                    <w:rPr>
                      <w:rFonts w:eastAsia="Calibri" w:cs="Arial"/>
                      <w:sz w:val="20"/>
                      <w:szCs w:val="20"/>
                      <w:lang w:eastAsia="en-US"/>
                    </w:rPr>
                    <w:t>71%</w:t>
                  </w:r>
                </w:p>
              </w:tc>
              <w:tc>
                <w:tcPr>
                  <w:tcW w:w="1134" w:type="dxa"/>
                  <w:shd w:val="clear" w:color="auto" w:fill="4F81BD" w:themeFill="accent1"/>
                </w:tcPr>
                <w:p w14:paraId="1895AA07" w14:textId="77777777" w:rsidR="00874F3C" w:rsidRPr="00A0005D" w:rsidRDefault="00874F3C" w:rsidP="00874F3C">
                  <w:pPr>
                    <w:suppressAutoHyphens w:val="0"/>
                    <w:autoSpaceDN/>
                    <w:rPr>
                      <w:rFonts w:eastAsia="Calibri" w:cs="Arial"/>
                      <w:sz w:val="20"/>
                      <w:szCs w:val="20"/>
                      <w:lang w:eastAsia="en-US"/>
                    </w:rPr>
                  </w:pPr>
                </w:p>
              </w:tc>
              <w:tc>
                <w:tcPr>
                  <w:tcW w:w="1418" w:type="dxa"/>
                </w:tcPr>
                <w:p w14:paraId="40A88DA2" w14:textId="77777777" w:rsidR="00874F3C" w:rsidRPr="00CA7A78" w:rsidRDefault="00874F3C" w:rsidP="00874F3C">
                  <w:pPr>
                    <w:suppressAutoHyphens w:val="0"/>
                    <w:autoSpaceDN/>
                    <w:rPr>
                      <w:rFonts w:eastAsia="Calibri" w:cs="Arial"/>
                      <w:sz w:val="20"/>
                      <w:szCs w:val="20"/>
                      <w:lang w:eastAsia="en-US"/>
                    </w:rPr>
                  </w:pPr>
                  <w:r>
                    <w:rPr>
                      <w:rFonts w:eastAsia="Calibri" w:cs="Arial"/>
                      <w:sz w:val="20"/>
                      <w:szCs w:val="20"/>
                      <w:lang w:eastAsia="en-US"/>
                    </w:rPr>
                    <w:t>86%</w:t>
                  </w:r>
                </w:p>
              </w:tc>
              <w:tc>
                <w:tcPr>
                  <w:tcW w:w="1276" w:type="dxa"/>
                </w:tcPr>
                <w:p w14:paraId="1D4E5772" w14:textId="77777777" w:rsidR="00874F3C" w:rsidRPr="00704792" w:rsidRDefault="00874F3C" w:rsidP="00874F3C">
                  <w:pPr>
                    <w:suppressAutoHyphens w:val="0"/>
                    <w:autoSpaceDN/>
                    <w:rPr>
                      <w:rFonts w:eastAsia="Calibri" w:cs="Arial"/>
                      <w:sz w:val="20"/>
                      <w:szCs w:val="20"/>
                      <w:lang w:eastAsia="en-US"/>
                    </w:rPr>
                  </w:pPr>
                  <w:r>
                    <w:rPr>
                      <w:rFonts w:eastAsia="Calibri" w:cs="Arial"/>
                      <w:sz w:val="20"/>
                      <w:szCs w:val="20"/>
                      <w:lang w:eastAsia="en-US"/>
                    </w:rPr>
                    <w:t>71%</w:t>
                  </w:r>
                </w:p>
              </w:tc>
              <w:tc>
                <w:tcPr>
                  <w:tcW w:w="1275" w:type="dxa"/>
                </w:tcPr>
                <w:p w14:paraId="617D70DA" w14:textId="77777777" w:rsidR="00874F3C" w:rsidRPr="00704792" w:rsidRDefault="00874F3C" w:rsidP="00874F3C">
                  <w:pPr>
                    <w:suppressAutoHyphens w:val="0"/>
                    <w:autoSpaceDN/>
                    <w:rPr>
                      <w:rFonts w:eastAsia="Calibri" w:cs="Arial"/>
                      <w:sz w:val="20"/>
                      <w:szCs w:val="20"/>
                      <w:lang w:eastAsia="en-US"/>
                    </w:rPr>
                  </w:pPr>
                  <w:r>
                    <w:rPr>
                      <w:rFonts w:eastAsia="Calibri" w:cs="Arial"/>
                      <w:sz w:val="20"/>
                      <w:szCs w:val="20"/>
                      <w:lang w:eastAsia="en-US"/>
                    </w:rPr>
                    <w:t>43%</w:t>
                  </w:r>
                </w:p>
              </w:tc>
            </w:tr>
          </w:tbl>
          <w:p w14:paraId="74B8DDF9" w14:textId="77777777" w:rsidR="00874F3C" w:rsidRDefault="00874F3C" w:rsidP="00874F3C">
            <w:pPr>
              <w:suppressAutoHyphens w:val="0"/>
              <w:autoSpaceDN/>
              <w:rPr>
                <w:rFonts w:eastAsia="Calibri" w:cs="Arial"/>
                <w:lang w:eastAsia="en-US"/>
              </w:rPr>
            </w:pPr>
          </w:p>
          <w:p w14:paraId="73288221" w14:textId="16EA94A8" w:rsidR="00874F3C" w:rsidRDefault="00874F3C" w:rsidP="00874F3C">
            <w:pPr>
              <w:suppressAutoHyphens w:val="0"/>
              <w:autoSpaceDN/>
              <w:rPr>
                <w:rFonts w:eastAsia="Calibri" w:cs="Arial"/>
                <w:lang w:eastAsia="en-US"/>
              </w:rPr>
            </w:pPr>
            <w:r>
              <w:rPr>
                <w:rFonts w:eastAsia="Calibri" w:cs="Arial"/>
                <w:lang w:eastAsia="en-US"/>
              </w:rPr>
              <w:t>Across the school, 42% of Pupil Premium pupils last year also had additional SEND provision.</w:t>
            </w:r>
          </w:p>
          <w:p w14:paraId="1021E86A" w14:textId="77777777" w:rsidR="00EF5156" w:rsidRDefault="00EF5156" w:rsidP="00874F3C">
            <w:pPr>
              <w:suppressAutoHyphens w:val="0"/>
              <w:autoSpaceDN/>
              <w:rPr>
                <w:rFonts w:eastAsia="Calibri" w:cs="Arial"/>
                <w:lang w:eastAsia="en-US"/>
              </w:rPr>
            </w:pPr>
          </w:p>
          <w:p w14:paraId="7F998732" w14:textId="7E532AC0" w:rsidR="00EF5156" w:rsidRDefault="001B4339" w:rsidP="00874F3C">
            <w:pPr>
              <w:suppressAutoHyphens w:val="0"/>
              <w:autoSpaceDN/>
              <w:rPr>
                <w:rFonts w:eastAsia="Calibri" w:cs="Arial"/>
                <w:lang w:eastAsia="en-US"/>
              </w:rPr>
            </w:pPr>
            <w:r>
              <w:rPr>
                <w:rFonts w:eastAsia="Calibri" w:cs="Arial"/>
                <w:lang w:eastAsia="en-US"/>
              </w:rPr>
              <w:t xml:space="preserve">In order to ensure that the correct support and interventions </w:t>
            </w:r>
            <w:r w:rsidR="00E57DDA">
              <w:rPr>
                <w:rFonts w:eastAsia="Calibri" w:cs="Arial"/>
                <w:lang w:eastAsia="en-US"/>
              </w:rPr>
              <w:t>have</w:t>
            </w:r>
            <w:r>
              <w:rPr>
                <w:rFonts w:eastAsia="Calibri" w:cs="Arial"/>
                <w:lang w:eastAsia="en-US"/>
              </w:rPr>
              <w:t xml:space="preserve"> been put in place for pupils, the school has purchased diagnostic assessments, such as NFER and White Rose</w:t>
            </w:r>
            <w:r w:rsidR="00E57DDA">
              <w:rPr>
                <w:rFonts w:eastAsia="Calibri" w:cs="Arial"/>
                <w:lang w:eastAsia="en-US"/>
              </w:rPr>
              <w:t xml:space="preserve">. The use of these assessments has meant that teachers have the tools </w:t>
            </w:r>
            <w:r w:rsidR="000E221B">
              <w:rPr>
                <w:rFonts w:eastAsia="Calibri" w:cs="Arial"/>
                <w:lang w:eastAsia="en-US"/>
              </w:rPr>
              <w:t xml:space="preserve">to </w:t>
            </w:r>
            <w:r>
              <w:rPr>
                <w:rFonts w:eastAsia="Calibri" w:cs="Arial"/>
                <w:lang w:eastAsia="en-US"/>
              </w:rPr>
              <w:t>analyse</w:t>
            </w:r>
            <w:r w:rsidR="00E57DDA">
              <w:rPr>
                <w:rFonts w:eastAsia="Calibri" w:cs="Arial"/>
                <w:lang w:eastAsia="en-US"/>
              </w:rPr>
              <w:t xml:space="preserve"> the different areas of learning</w:t>
            </w:r>
            <w:r>
              <w:rPr>
                <w:rFonts w:eastAsia="Calibri" w:cs="Arial"/>
                <w:lang w:eastAsia="en-US"/>
              </w:rPr>
              <w:t xml:space="preserve"> and </w:t>
            </w:r>
            <w:r w:rsidR="000E221B">
              <w:rPr>
                <w:rFonts w:eastAsia="Calibri" w:cs="Arial"/>
                <w:lang w:eastAsia="en-US"/>
              </w:rPr>
              <w:t xml:space="preserve">ensure </w:t>
            </w:r>
            <w:r>
              <w:rPr>
                <w:rFonts w:eastAsia="Calibri" w:cs="Arial"/>
                <w:lang w:eastAsia="en-US"/>
              </w:rPr>
              <w:t xml:space="preserve">that gaps in learning are addressed. </w:t>
            </w:r>
            <w:r w:rsidR="000717B4">
              <w:rPr>
                <w:rFonts w:eastAsia="Calibri" w:cs="Arial"/>
                <w:lang w:eastAsia="en-US"/>
              </w:rPr>
              <w:t xml:space="preserve">Staff have received appropriate </w:t>
            </w:r>
            <w:r w:rsidR="00094360">
              <w:rPr>
                <w:rFonts w:eastAsia="Calibri" w:cs="Arial"/>
                <w:lang w:eastAsia="en-US"/>
              </w:rPr>
              <w:t>training,</w:t>
            </w:r>
            <w:r w:rsidR="000717B4">
              <w:rPr>
                <w:rFonts w:eastAsia="Calibri" w:cs="Arial"/>
                <w:lang w:eastAsia="en-US"/>
              </w:rPr>
              <w:t xml:space="preserve"> and this has impacted on their ability to analyse gaps and strands of learning.</w:t>
            </w:r>
            <w:r w:rsidR="00CE0F4F">
              <w:rPr>
                <w:rFonts w:eastAsia="Calibri" w:cs="Arial"/>
                <w:lang w:eastAsia="en-US"/>
              </w:rPr>
              <w:t xml:space="preserve"> One to one and small group interventions have been put in place</w:t>
            </w:r>
            <w:r w:rsidR="00094360">
              <w:rPr>
                <w:rFonts w:eastAsia="Calibri" w:cs="Arial"/>
                <w:lang w:eastAsia="en-US"/>
              </w:rPr>
              <w:t xml:space="preserve"> for those pupils in need of additional support, and progress has been made from baseline data.</w:t>
            </w:r>
            <w:r w:rsidR="00D605AC">
              <w:rPr>
                <w:rFonts w:eastAsia="Calibri" w:cs="Arial"/>
                <w:lang w:eastAsia="en-US"/>
              </w:rPr>
              <w:t xml:space="preserve"> The impact of these interventions resulted in </w:t>
            </w:r>
            <w:r w:rsidR="006064DA">
              <w:rPr>
                <w:rFonts w:eastAsia="Calibri" w:cs="Arial"/>
                <w:lang w:eastAsia="en-US"/>
              </w:rPr>
              <w:t>7</w:t>
            </w:r>
            <w:r w:rsidR="00471594">
              <w:rPr>
                <w:rFonts w:eastAsia="Calibri" w:cs="Arial"/>
                <w:lang w:eastAsia="en-US"/>
              </w:rPr>
              <w:t>6</w:t>
            </w:r>
            <w:r w:rsidR="006064DA">
              <w:rPr>
                <w:rFonts w:eastAsia="Calibri" w:cs="Arial"/>
                <w:lang w:eastAsia="en-US"/>
              </w:rPr>
              <w:t xml:space="preserve">% of PP pupils from Y1-Y5 making expected progress in Reading, and </w:t>
            </w:r>
            <w:r w:rsidR="00471594">
              <w:rPr>
                <w:rFonts w:eastAsia="Calibri" w:cs="Arial"/>
                <w:lang w:eastAsia="en-US"/>
              </w:rPr>
              <w:t xml:space="preserve">24% making above expected progress in this area. In Maths, </w:t>
            </w:r>
            <w:r w:rsidR="00B26998">
              <w:rPr>
                <w:rFonts w:eastAsia="Calibri" w:cs="Arial"/>
                <w:lang w:eastAsia="en-US"/>
              </w:rPr>
              <w:t xml:space="preserve">67% of PP pupils made expected progress, and </w:t>
            </w:r>
            <w:r w:rsidR="00197BBA">
              <w:rPr>
                <w:rFonts w:eastAsia="Calibri" w:cs="Arial"/>
                <w:lang w:eastAsia="en-US"/>
              </w:rPr>
              <w:t>24% better than expected progress. In Writing, 85% of PP pupils made expected progress, and 3% made more than expected.</w:t>
            </w:r>
          </w:p>
          <w:p w14:paraId="7F645AD1" w14:textId="6492E852" w:rsidR="00934A07" w:rsidRDefault="00934A07" w:rsidP="00874F3C">
            <w:pPr>
              <w:suppressAutoHyphens w:val="0"/>
              <w:autoSpaceDN/>
              <w:rPr>
                <w:rFonts w:eastAsia="Calibri" w:cs="Arial"/>
                <w:lang w:eastAsia="en-US"/>
              </w:rPr>
            </w:pPr>
            <w:r>
              <w:rPr>
                <w:rFonts w:eastAsia="Calibri" w:cs="Arial"/>
                <w:lang w:eastAsia="en-US"/>
              </w:rPr>
              <w:t xml:space="preserve">Termly pupil progress meetings are held, and the progress and attainment of Pupil Premium pupils is discussed, analysed and targets put in place. </w:t>
            </w:r>
            <w:r w:rsidR="00B42974">
              <w:rPr>
                <w:rFonts w:eastAsia="Calibri" w:cs="Arial"/>
                <w:lang w:eastAsia="en-US"/>
              </w:rPr>
              <w:t xml:space="preserve">The use of Edukey is </w:t>
            </w:r>
            <w:r w:rsidR="0041158E">
              <w:rPr>
                <w:rFonts w:eastAsia="Calibri" w:cs="Arial"/>
                <w:lang w:eastAsia="en-US"/>
              </w:rPr>
              <w:t xml:space="preserve">maximised to ensure that the needs of those Pupil Premium pupils with SEND are being met. Provision Mapping is in place, and </w:t>
            </w:r>
            <w:r w:rsidR="00E066FE">
              <w:rPr>
                <w:rFonts w:eastAsia="Calibri" w:cs="Arial"/>
                <w:lang w:eastAsia="en-US"/>
              </w:rPr>
              <w:t xml:space="preserve">observations and book scrutinies have shown that gaps in learning are being addressed to ensure that the </w:t>
            </w:r>
            <w:r w:rsidR="0032067A">
              <w:rPr>
                <w:rFonts w:eastAsia="Calibri" w:cs="Arial"/>
                <w:lang w:eastAsia="en-US"/>
              </w:rPr>
              <w:t>children make at least expected progress.</w:t>
            </w:r>
          </w:p>
          <w:p w14:paraId="3E5CB395" w14:textId="066D571F" w:rsidR="00104A49" w:rsidRDefault="00104A49" w:rsidP="00874F3C">
            <w:pPr>
              <w:suppressAutoHyphens w:val="0"/>
              <w:autoSpaceDN/>
              <w:rPr>
                <w:rFonts w:eastAsia="Calibri" w:cs="Arial"/>
                <w:lang w:eastAsia="en-US"/>
              </w:rPr>
            </w:pPr>
            <w:r>
              <w:rPr>
                <w:rFonts w:eastAsia="Calibri" w:cs="Arial"/>
                <w:lang w:eastAsia="en-US"/>
              </w:rPr>
              <w:t xml:space="preserve">As the plan moves into year 2, the progress and attainment of Pupil Premium pupils will be </w:t>
            </w:r>
            <w:r w:rsidR="004F3BC8">
              <w:rPr>
                <w:rFonts w:eastAsia="Calibri" w:cs="Arial"/>
                <w:lang w:eastAsia="en-US"/>
              </w:rPr>
              <w:t>tracked</w:t>
            </w:r>
            <w:r w:rsidR="0006140D">
              <w:rPr>
                <w:rFonts w:eastAsia="Calibri" w:cs="Arial"/>
                <w:lang w:eastAsia="en-US"/>
              </w:rPr>
              <w:t xml:space="preserve"> further </w:t>
            </w:r>
            <w:r w:rsidR="004F3BC8">
              <w:rPr>
                <w:rFonts w:eastAsia="Calibri" w:cs="Arial"/>
                <w:lang w:eastAsia="en-US"/>
              </w:rPr>
              <w:t>with pupil progress meetings half term</w:t>
            </w:r>
            <w:r w:rsidR="00DC0EFC">
              <w:rPr>
                <w:rFonts w:eastAsia="Calibri" w:cs="Arial"/>
                <w:lang w:eastAsia="en-US"/>
              </w:rPr>
              <w:t>ly, rather than termly</w:t>
            </w:r>
            <w:r w:rsidR="00EB34FB">
              <w:rPr>
                <w:rFonts w:eastAsia="Calibri" w:cs="Arial"/>
                <w:lang w:eastAsia="en-US"/>
              </w:rPr>
              <w:t xml:space="preserve"> to ensure that gaps in learning </w:t>
            </w:r>
            <w:r w:rsidR="005770F7">
              <w:rPr>
                <w:rFonts w:eastAsia="Calibri" w:cs="Arial"/>
                <w:lang w:eastAsia="en-US"/>
              </w:rPr>
              <w:t xml:space="preserve">continue to be </w:t>
            </w:r>
            <w:r w:rsidR="00EB34FB">
              <w:rPr>
                <w:rFonts w:eastAsia="Calibri" w:cs="Arial"/>
                <w:lang w:eastAsia="en-US"/>
              </w:rPr>
              <w:t>identified and addressed</w:t>
            </w:r>
            <w:r w:rsidR="00AE187F">
              <w:rPr>
                <w:rFonts w:eastAsia="Calibri" w:cs="Arial"/>
                <w:lang w:eastAsia="en-US"/>
              </w:rPr>
              <w:t xml:space="preserve"> through bespoke interventions. </w:t>
            </w:r>
            <w:r w:rsidR="00C043F1">
              <w:rPr>
                <w:rFonts w:eastAsia="Calibri" w:cs="Arial"/>
                <w:lang w:eastAsia="en-US"/>
              </w:rPr>
              <w:t>It will also be ensured that if pupils have</w:t>
            </w:r>
            <w:r w:rsidR="00DC0EFC">
              <w:rPr>
                <w:rFonts w:eastAsia="Calibri" w:cs="Arial"/>
                <w:lang w:eastAsia="en-US"/>
              </w:rPr>
              <w:t xml:space="preserve"> not </w:t>
            </w:r>
            <w:r w:rsidR="00242C78">
              <w:rPr>
                <w:rFonts w:eastAsia="Calibri" w:cs="Arial"/>
                <w:lang w:eastAsia="en-US"/>
              </w:rPr>
              <w:t>attended</w:t>
            </w:r>
            <w:r w:rsidR="00DC0EFC">
              <w:rPr>
                <w:rFonts w:eastAsia="Calibri" w:cs="Arial"/>
                <w:lang w:eastAsia="en-US"/>
              </w:rPr>
              <w:t xml:space="preserve"> school</w:t>
            </w:r>
            <w:r w:rsidR="00C043F1">
              <w:rPr>
                <w:rFonts w:eastAsia="Calibri" w:cs="Arial"/>
                <w:lang w:eastAsia="en-US"/>
              </w:rPr>
              <w:t xml:space="preserve">, that teachers or teaching assistants </w:t>
            </w:r>
            <w:r w:rsidR="0078587C">
              <w:rPr>
                <w:rFonts w:eastAsia="Calibri" w:cs="Arial"/>
                <w:lang w:eastAsia="en-US"/>
              </w:rPr>
              <w:t xml:space="preserve">address any missed learning </w:t>
            </w:r>
            <w:r w:rsidR="008245B5">
              <w:rPr>
                <w:rFonts w:eastAsia="Calibri" w:cs="Arial"/>
                <w:lang w:eastAsia="en-US"/>
              </w:rPr>
              <w:t xml:space="preserve">immediately </w:t>
            </w:r>
            <w:r w:rsidR="0078587C">
              <w:rPr>
                <w:rFonts w:eastAsia="Calibri" w:cs="Arial"/>
                <w:lang w:eastAsia="en-US"/>
              </w:rPr>
              <w:t>on the pupil’s return t</w:t>
            </w:r>
            <w:r w:rsidR="00242C78">
              <w:rPr>
                <w:rFonts w:eastAsia="Calibri" w:cs="Arial"/>
                <w:lang w:eastAsia="en-US"/>
              </w:rPr>
              <w:t>o the classroom.</w:t>
            </w:r>
          </w:p>
          <w:p w14:paraId="728950FA" w14:textId="3306C802" w:rsidR="004C0630" w:rsidRDefault="004C0630" w:rsidP="00370AF0">
            <w:pPr>
              <w:suppressAutoHyphens w:val="0"/>
              <w:autoSpaceDN/>
              <w:rPr>
                <w:rFonts w:cs="Arial"/>
                <w:b/>
                <w:bCs/>
                <w:i/>
                <w:iCs/>
              </w:rPr>
            </w:pPr>
            <w:r w:rsidRPr="004C0630">
              <w:rPr>
                <w:rFonts w:cs="Arial"/>
                <w:b/>
                <w:bCs/>
                <w:i/>
                <w:iCs/>
              </w:rPr>
              <w:t>To achieve and sustain improved wellbeing for all pupils in school, particularly the disadvantaged pupils.</w:t>
            </w:r>
          </w:p>
          <w:p w14:paraId="7532AAB4" w14:textId="77777777" w:rsidR="009824AC" w:rsidRDefault="00EF6C1E" w:rsidP="00370AF0">
            <w:pPr>
              <w:suppressAutoHyphens w:val="0"/>
              <w:autoSpaceDN/>
            </w:pPr>
            <w:r>
              <w:t xml:space="preserve">There are </w:t>
            </w:r>
            <w:r w:rsidR="005C4C5F">
              <w:t xml:space="preserve">a number </w:t>
            </w:r>
            <w:r>
              <w:t>of interventions and strategies in place to support pupils with their wellbeing</w:t>
            </w:r>
            <w:r w:rsidR="001C7A07">
              <w:t xml:space="preserve"> and emotional health. In year 1 of the plan, a member of staff was trained as </w:t>
            </w:r>
            <w:r w:rsidR="001C7A07">
              <w:lastRenderedPageBreak/>
              <w:t xml:space="preserve">a Senior Mental Health </w:t>
            </w:r>
            <w:r w:rsidR="006B2565">
              <w:t>Lead and</w:t>
            </w:r>
            <w:r w:rsidR="001C7A07">
              <w:t xml:space="preserve"> has worked closely with the Head of School </w:t>
            </w:r>
            <w:r w:rsidR="00466198">
              <w:t xml:space="preserve">and Mental Health First Aider </w:t>
            </w:r>
            <w:r w:rsidR="001C7A07">
              <w:t xml:space="preserve">to develop an action plan related to supporting pupils with their mental health. </w:t>
            </w:r>
          </w:p>
          <w:p w14:paraId="4E6A1C51" w14:textId="77777777" w:rsidR="00E13FFE" w:rsidRDefault="001C7A07" w:rsidP="00370AF0">
            <w:pPr>
              <w:suppressAutoHyphens w:val="0"/>
              <w:autoSpaceDN/>
            </w:pPr>
            <w:r>
              <w:t xml:space="preserve">School also </w:t>
            </w:r>
            <w:r w:rsidR="00466198">
              <w:t>works</w:t>
            </w:r>
            <w:r>
              <w:t xml:space="preserve"> closely with Compass and the Student and Family support worker to ensure that pupils</w:t>
            </w:r>
            <w:r w:rsidR="009824AC">
              <w:t>’</w:t>
            </w:r>
            <w:r>
              <w:t xml:space="preserve"> emotional health needs are met. </w:t>
            </w:r>
            <w:r w:rsidR="006B2565">
              <w:t xml:space="preserve">The work with Compass </w:t>
            </w:r>
            <w:r w:rsidR="0001035C">
              <w:t xml:space="preserve">has included pupils being trained and becoming Mental Health ambassadors for the whole school, they have launched such initiatives as the playground buddy </w:t>
            </w:r>
            <w:r w:rsidR="009C3045">
              <w:t>stop and</w:t>
            </w:r>
            <w:r w:rsidR="0001035C">
              <w:t xml:space="preserve"> worry books in each class. </w:t>
            </w:r>
            <w:r w:rsidR="00035AE8">
              <w:t xml:space="preserve">There are also a group of pupils in the school who have worked with High Peak Schools Sports Partnership in becoming </w:t>
            </w:r>
            <w:r w:rsidR="009824AC">
              <w:t>H</w:t>
            </w:r>
            <w:r w:rsidR="00035AE8">
              <w:t xml:space="preserve">ealth </w:t>
            </w:r>
            <w:r w:rsidR="009824AC">
              <w:t>C</w:t>
            </w:r>
            <w:r w:rsidR="00035AE8">
              <w:t xml:space="preserve">hampions, with a focus on healthy body and healthy mind. </w:t>
            </w:r>
            <w:r w:rsidR="00E13FFE">
              <w:t xml:space="preserve">It has been ensured that Pupil Premium pupils are included in these groups. </w:t>
            </w:r>
          </w:p>
          <w:p w14:paraId="404FD98F" w14:textId="77777777" w:rsidR="00C7422F" w:rsidRDefault="00035AE8" w:rsidP="00370AF0">
            <w:pPr>
              <w:suppressAutoHyphens w:val="0"/>
              <w:autoSpaceDN/>
            </w:pPr>
            <w:r>
              <w:t>Th</w:t>
            </w:r>
            <w:r w:rsidR="002B3902">
              <w:t>e</w:t>
            </w:r>
            <w:r w:rsidR="00477584">
              <w:t xml:space="preserve"> development of these groups in year 1 of the strategy has supported in ensuring that pupils have a good understanding of their mental </w:t>
            </w:r>
            <w:r w:rsidR="009C3045">
              <w:t>wellbeing</w:t>
            </w:r>
            <w:r w:rsidR="00036CF4">
              <w:t xml:space="preserve">, emotional regulation </w:t>
            </w:r>
            <w:r w:rsidR="009C3045">
              <w:t>and</w:t>
            </w:r>
            <w:r w:rsidR="00477584">
              <w:t xml:space="preserve"> </w:t>
            </w:r>
            <w:r w:rsidR="00036CF4">
              <w:t xml:space="preserve">that they </w:t>
            </w:r>
            <w:r w:rsidR="00477584">
              <w:t xml:space="preserve">know ways in which to address any concerns or worries that they may have. Pupils have also </w:t>
            </w:r>
            <w:r w:rsidR="00C7422F">
              <w:t xml:space="preserve">been targeted </w:t>
            </w:r>
            <w:r w:rsidR="00477584">
              <w:t xml:space="preserve">throughout the year to attend Art Therapy group, and </w:t>
            </w:r>
            <w:r w:rsidR="009C3045">
              <w:t>a group focusing on anxiety before transitioning to secondary school, led by Compass. One to one support has also been available through Compass and the Student and Family support worker</w:t>
            </w:r>
            <w:r w:rsidR="00C7422F">
              <w:t xml:space="preserve">, when needed. </w:t>
            </w:r>
          </w:p>
          <w:p w14:paraId="48087B32" w14:textId="146E76F4" w:rsidR="00503CAF" w:rsidRDefault="00EB7DFB" w:rsidP="00370AF0">
            <w:pPr>
              <w:suppressAutoHyphens w:val="0"/>
              <w:autoSpaceDN/>
            </w:pPr>
            <w:r>
              <w:t>All staff are trained in the Zones of Regulation, and there are sensory boxes available for pupils in each classroom. This will be further embedded in year 2 of the plan, and more use will be made of Boxall Profiles at the start of all interventions, so that impact can be measured further</w:t>
            </w:r>
            <w:r w:rsidR="007E45AA">
              <w:t xml:space="preserve"> and clear social and emotional targets set. </w:t>
            </w:r>
          </w:p>
          <w:p w14:paraId="6088F6BD" w14:textId="34069C3E" w:rsidR="009D1567" w:rsidRDefault="009D1567" w:rsidP="00370AF0">
            <w:pPr>
              <w:suppressAutoHyphens w:val="0"/>
              <w:autoSpaceDN/>
              <w:rPr>
                <w:rFonts w:cs="Arial"/>
                <w:b/>
                <w:bCs/>
                <w:i/>
                <w:iCs/>
              </w:rPr>
            </w:pPr>
            <w:r>
              <w:t>Results of the SRS pupil survey</w:t>
            </w:r>
            <w:r w:rsidR="009161B2">
              <w:t xml:space="preserve"> in July 2025 show that </w:t>
            </w:r>
            <w:r w:rsidR="007658A9">
              <w:t>76% of the pupils strongly agreed or agreed that school is a friendly place</w:t>
            </w:r>
            <w:r w:rsidR="00D573E0">
              <w:t xml:space="preserve"> and 81% of pupils agreed or strongly agreed that they know how to be good learners.</w:t>
            </w:r>
            <w:r w:rsidR="00B22D87">
              <w:t xml:space="preserve"> When asked what the best thing is about St Mary’s, pupils </w:t>
            </w:r>
            <w:r w:rsidR="00264AF5">
              <w:t xml:space="preserve">stated that ‘it is very fun and safe’ </w:t>
            </w:r>
            <w:r w:rsidR="00D2289A">
              <w:t>‘they are caring’</w:t>
            </w:r>
            <w:r w:rsidR="00020B0D">
              <w:t xml:space="preserve"> ‘everyone is kind to me’</w:t>
            </w:r>
            <w:r w:rsidR="00630857">
              <w:t xml:space="preserve">, ‘how teachers treat everyone the same and the staff are kind’ </w:t>
            </w:r>
            <w:r w:rsidR="00020B0D">
              <w:t>and ‘this school is kind, friendly and helpful’.</w:t>
            </w:r>
            <w:r w:rsidR="00454CA3">
              <w:t xml:space="preserve"> In year 2 of the plan, the school </w:t>
            </w:r>
            <w:r w:rsidR="00D223D0">
              <w:t>will address any support that is needed, as a result of analysing the survey results.</w:t>
            </w:r>
          </w:p>
          <w:p w14:paraId="60430DA8" w14:textId="77777777" w:rsidR="00384056" w:rsidRDefault="004C0630" w:rsidP="00370AF0">
            <w:pPr>
              <w:suppressAutoHyphens w:val="0"/>
              <w:autoSpaceDN/>
              <w:rPr>
                <w:rFonts w:cs="Arial"/>
                <w:b/>
                <w:bCs/>
                <w:i/>
                <w:iCs/>
              </w:rPr>
            </w:pPr>
            <w:r w:rsidRPr="004C0630">
              <w:rPr>
                <w:rFonts w:cs="Arial"/>
                <w:b/>
                <w:bCs/>
                <w:i/>
                <w:iCs/>
              </w:rPr>
              <w:t xml:space="preserve">To achieve and sustain improved attendance for all pupils, particularly our </w:t>
            </w:r>
          </w:p>
          <w:p w14:paraId="416E3BD8" w14:textId="2D9C4D02" w:rsidR="004C0630" w:rsidRDefault="004C0630" w:rsidP="00370AF0">
            <w:pPr>
              <w:suppressAutoHyphens w:val="0"/>
              <w:autoSpaceDN/>
              <w:rPr>
                <w:rFonts w:cs="Arial"/>
                <w:b/>
                <w:bCs/>
                <w:i/>
                <w:iCs/>
              </w:rPr>
            </w:pPr>
            <w:r w:rsidRPr="004C0630">
              <w:rPr>
                <w:rFonts w:cs="Arial"/>
                <w:b/>
                <w:bCs/>
                <w:i/>
                <w:iCs/>
              </w:rPr>
              <w:t>disadvantaged pupils.</w:t>
            </w:r>
          </w:p>
          <w:p w14:paraId="674886DA" w14:textId="77777777" w:rsidR="00384056" w:rsidRDefault="004C0630" w:rsidP="004C0630">
            <w:pPr>
              <w:suppressAutoHyphens w:val="0"/>
              <w:autoSpaceDN/>
              <w:rPr>
                <w:rFonts w:eastAsia="Calibri" w:cs="Arial"/>
                <w:lang w:eastAsia="en-US"/>
              </w:rPr>
            </w:pPr>
            <w:r>
              <w:rPr>
                <w:rFonts w:eastAsia="Calibri" w:cs="Arial"/>
                <w:lang w:eastAsia="en-US"/>
              </w:rPr>
              <w:t xml:space="preserve">Overall attendance in 2024/2025 for all pupils was 94.6% and 92.17% for </w:t>
            </w:r>
          </w:p>
          <w:p w14:paraId="74433D02" w14:textId="076FCE43" w:rsidR="004C0630" w:rsidRDefault="004C0630" w:rsidP="004C0630">
            <w:pPr>
              <w:suppressAutoHyphens w:val="0"/>
              <w:autoSpaceDN/>
              <w:rPr>
                <w:rFonts w:eastAsia="Calibri" w:cs="Arial"/>
                <w:lang w:eastAsia="en-US"/>
              </w:rPr>
            </w:pPr>
            <w:r>
              <w:rPr>
                <w:rFonts w:eastAsia="Calibri" w:cs="Arial"/>
                <w:lang w:eastAsia="en-US"/>
              </w:rPr>
              <w:t>Pupil Premium pupils- this is a 3% improvement on the last two years, so shows that the focused work on improving attendance is having a positive impact.</w:t>
            </w:r>
          </w:p>
          <w:p w14:paraId="49D09C3F" w14:textId="3CC7A7A3" w:rsidR="007543D7" w:rsidRDefault="00D91BDA" w:rsidP="004C0630">
            <w:pPr>
              <w:suppressAutoHyphens w:val="0"/>
              <w:autoSpaceDN/>
              <w:rPr>
                <w:rFonts w:eastAsia="Calibri" w:cs="Arial"/>
                <w:lang w:eastAsia="en-US"/>
              </w:rPr>
            </w:pPr>
            <w:r>
              <w:rPr>
                <w:rFonts w:eastAsia="Calibri" w:cs="Arial"/>
                <w:lang w:eastAsia="en-US"/>
              </w:rPr>
              <w:t xml:space="preserve">There is a whole school consistent approach to </w:t>
            </w:r>
            <w:r w:rsidR="004460AD">
              <w:rPr>
                <w:rFonts w:eastAsia="Calibri" w:cs="Arial"/>
                <w:lang w:eastAsia="en-US"/>
              </w:rPr>
              <w:t xml:space="preserve">improving </w:t>
            </w:r>
            <w:r>
              <w:rPr>
                <w:rFonts w:eastAsia="Calibri" w:cs="Arial"/>
                <w:lang w:eastAsia="en-US"/>
              </w:rPr>
              <w:t xml:space="preserve">attendance, and </w:t>
            </w:r>
            <w:r w:rsidR="004460AD">
              <w:rPr>
                <w:rFonts w:eastAsia="Calibri" w:cs="Arial"/>
                <w:lang w:eastAsia="en-US"/>
              </w:rPr>
              <w:t>p</w:t>
            </w:r>
            <w:r>
              <w:rPr>
                <w:rFonts w:eastAsia="Calibri" w:cs="Arial"/>
                <w:lang w:eastAsia="en-US"/>
              </w:rPr>
              <w:t xml:space="preserve">upil and parent voice shows that children enjoy being rewarded for good attendance each half term, and this motivates them to attend school. </w:t>
            </w:r>
            <w:r w:rsidR="00A66291">
              <w:rPr>
                <w:rFonts w:eastAsia="Calibri" w:cs="Arial"/>
                <w:lang w:eastAsia="en-US"/>
              </w:rPr>
              <w:t xml:space="preserve">The whole class attendance award which is presented each week in assembly is well received by the </w:t>
            </w:r>
            <w:r w:rsidR="004460AD">
              <w:rPr>
                <w:rFonts w:eastAsia="Calibri" w:cs="Arial"/>
                <w:lang w:eastAsia="en-US"/>
              </w:rPr>
              <w:t>pupils and</w:t>
            </w:r>
            <w:r w:rsidR="00A66291">
              <w:rPr>
                <w:rFonts w:eastAsia="Calibri" w:cs="Arial"/>
                <w:lang w:eastAsia="en-US"/>
              </w:rPr>
              <w:t xml:space="preserve"> supports in encouraging the attendance of all pupils</w:t>
            </w:r>
            <w:r w:rsidR="004460AD">
              <w:rPr>
                <w:rFonts w:eastAsia="Calibri" w:cs="Arial"/>
                <w:lang w:eastAsia="en-US"/>
              </w:rPr>
              <w:t xml:space="preserve">, in addition to scores on the doors, which has been introduced this academic year. SLT working closely with the Student and Family support worker has also had a positive impact on attendance, as support is offered to families at an early stage, and any barriers to non-attendance are addressed in a timely manner. Any appropriate referrals are made, and </w:t>
            </w:r>
            <w:r w:rsidR="000043A1">
              <w:rPr>
                <w:rFonts w:eastAsia="Calibri" w:cs="Arial"/>
                <w:lang w:eastAsia="en-US"/>
              </w:rPr>
              <w:t>support is put in place for families.</w:t>
            </w:r>
          </w:p>
          <w:p w14:paraId="44AF3BF0" w14:textId="2E63B5BE" w:rsidR="0064327D" w:rsidRDefault="00CC5450" w:rsidP="004C0630">
            <w:pPr>
              <w:suppressAutoHyphens w:val="0"/>
              <w:autoSpaceDN/>
              <w:rPr>
                <w:rFonts w:cs="Arial"/>
                <w:b/>
                <w:bCs/>
                <w:i/>
                <w:iCs/>
              </w:rPr>
            </w:pPr>
            <w:r w:rsidRPr="00CC5450">
              <w:rPr>
                <w:rFonts w:cs="Arial"/>
                <w:b/>
                <w:bCs/>
                <w:i/>
                <w:iCs/>
              </w:rPr>
              <w:t>To give parents more confidence in supporting their children with homework and daily reading, leading to improved outcomes and more consistent results in Phonics and MTC.</w:t>
            </w:r>
          </w:p>
          <w:p w14:paraId="623275D7" w14:textId="48098F21" w:rsidR="0086549E" w:rsidRDefault="008F7020" w:rsidP="004C0630">
            <w:pPr>
              <w:suppressAutoHyphens w:val="0"/>
              <w:autoSpaceDN/>
              <w:rPr>
                <w:rFonts w:cs="Arial"/>
              </w:rPr>
            </w:pPr>
            <w:r w:rsidRPr="00825739">
              <w:rPr>
                <w:rFonts w:cs="Arial"/>
              </w:rPr>
              <w:t>In year 1</w:t>
            </w:r>
            <w:r w:rsidR="005A2098">
              <w:rPr>
                <w:rFonts w:cs="Arial"/>
              </w:rPr>
              <w:t xml:space="preserve"> of the strategy,</w:t>
            </w:r>
            <w:r w:rsidRPr="00825739">
              <w:rPr>
                <w:rFonts w:cs="Arial"/>
              </w:rPr>
              <w:t xml:space="preserve"> the school have continued to work closely with parents in providing them with the tools to support their child with their learning at home. Ed Shed </w:t>
            </w:r>
            <w:r w:rsidRPr="00825739">
              <w:rPr>
                <w:rFonts w:cs="Arial"/>
              </w:rPr>
              <w:lastRenderedPageBreak/>
              <w:t xml:space="preserve">and </w:t>
            </w:r>
            <w:r w:rsidR="00C0626A" w:rsidRPr="00825739">
              <w:rPr>
                <w:rFonts w:cs="Arial"/>
              </w:rPr>
              <w:t>Times tables</w:t>
            </w:r>
            <w:r w:rsidRPr="00825739">
              <w:rPr>
                <w:rFonts w:cs="Arial"/>
              </w:rPr>
              <w:t xml:space="preserve"> Rockstars has been purchased, and children access these platforms frequently at home. The school also holds a daily lunchtime club, where children are provided with the opportunity to practice their spellings or times</w:t>
            </w:r>
            <w:r w:rsidR="005A2098">
              <w:rPr>
                <w:rFonts w:cs="Arial"/>
              </w:rPr>
              <w:t xml:space="preserve"> </w:t>
            </w:r>
            <w:r w:rsidRPr="00825739">
              <w:rPr>
                <w:rFonts w:cs="Arial"/>
              </w:rPr>
              <w:t xml:space="preserve">tables. </w:t>
            </w:r>
            <w:r w:rsidR="005A2098">
              <w:rPr>
                <w:rFonts w:cs="Arial"/>
              </w:rPr>
              <w:t xml:space="preserve">In year 2 of the strategy, school will look at a more consistent approach to rewarding pupils for access these platforms regularly to increase participation further. </w:t>
            </w:r>
          </w:p>
          <w:p w14:paraId="2E65FC4D" w14:textId="4C192230" w:rsidR="00CC5450" w:rsidRDefault="007D2B5D" w:rsidP="004C0630">
            <w:pPr>
              <w:suppressAutoHyphens w:val="0"/>
              <w:autoSpaceDN/>
              <w:rPr>
                <w:rFonts w:cs="Arial"/>
              </w:rPr>
            </w:pPr>
            <w:r>
              <w:rPr>
                <w:rFonts w:cs="Arial"/>
              </w:rPr>
              <w:t>At the start of the academic year, Phonics and Maths workshops were held for parents to engage them in their child’s learning and develop an under</w:t>
            </w:r>
            <w:r w:rsidR="004B1FF3">
              <w:rPr>
                <w:rFonts w:cs="Arial"/>
              </w:rPr>
              <w:t>standing of the schemes and programmes used in school. More workshops are planned for year 2 of the strategy to further develop the understanding.</w:t>
            </w:r>
            <w:r w:rsidR="0086549E">
              <w:rPr>
                <w:rFonts w:cs="Arial"/>
              </w:rPr>
              <w:t xml:space="preserve"> Attendance at the Phonics workshop was positive, however school needs to look at further ways to engage parents in </w:t>
            </w:r>
            <w:r w:rsidR="00F15C9C">
              <w:rPr>
                <w:rFonts w:cs="Arial"/>
              </w:rPr>
              <w:t>the Maths workshop this year.</w:t>
            </w:r>
          </w:p>
          <w:p w14:paraId="15A6742D" w14:textId="2F307171" w:rsidR="00F15C9C" w:rsidRDefault="00F15C9C" w:rsidP="004C0630">
            <w:pPr>
              <w:suppressAutoHyphens w:val="0"/>
              <w:autoSpaceDN/>
              <w:rPr>
                <w:rFonts w:cs="Arial"/>
              </w:rPr>
            </w:pPr>
            <w:r>
              <w:rPr>
                <w:rFonts w:cs="Arial"/>
              </w:rPr>
              <w:t xml:space="preserve">After discussions between parents and SLT, </w:t>
            </w:r>
            <w:r w:rsidR="00D73472">
              <w:rPr>
                <w:rFonts w:cs="Arial"/>
              </w:rPr>
              <w:t xml:space="preserve">individual pupils in receipt of Pupil Premium funding are provided with funded places at the </w:t>
            </w:r>
            <w:r w:rsidR="006F53C9">
              <w:rPr>
                <w:rFonts w:cs="Arial"/>
              </w:rPr>
              <w:t>after-school</w:t>
            </w:r>
            <w:r w:rsidR="00946E6A">
              <w:rPr>
                <w:rFonts w:cs="Arial"/>
              </w:rPr>
              <w:t xml:space="preserve"> club, where staff support them in completion of their homework, reading and spelling. The impact of this has been positive on the </w:t>
            </w:r>
            <w:r w:rsidR="006F53C9">
              <w:rPr>
                <w:rFonts w:cs="Arial"/>
              </w:rPr>
              <w:t>pupils, and</w:t>
            </w:r>
            <w:r w:rsidR="00946E6A">
              <w:rPr>
                <w:rFonts w:cs="Arial"/>
              </w:rPr>
              <w:t xml:space="preserve"> </w:t>
            </w:r>
            <w:r w:rsidR="006F53C9">
              <w:rPr>
                <w:rFonts w:cs="Arial"/>
              </w:rPr>
              <w:t>feedback shows that parents are happy for this support to be in place for their child</w:t>
            </w:r>
            <w:r w:rsidR="005B3FC4">
              <w:rPr>
                <w:rFonts w:cs="Arial"/>
              </w:rPr>
              <w:t>, and data shows that pupils are more readily completing homework tasks.</w:t>
            </w:r>
          </w:p>
          <w:p w14:paraId="74E46CCC" w14:textId="59A6877A" w:rsidR="00D12DD8" w:rsidRDefault="00D12DD8" w:rsidP="004C0630">
            <w:pPr>
              <w:suppressAutoHyphens w:val="0"/>
              <w:autoSpaceDN/>
              <w:rPr>
                <w:rFonts w:cs="Arial"/>
              </w:rPr>
            </w:pPr>
            <w:r>
              <w:rPr>
                <w:rFonts w:cs="Arial"/>
              </w:rPr>
              <w:t>Teachers have also held Phonics and MTC booster sessions before school in the morning.</w:t>
            </w:r>
            <w:r w:rsidR="00EC6AAF">
              <w:rPr>
                <w:rFonts w:cs="Arial"/>
              </w:rPr>
              <w:t xml:space="preserve"> </w:t>
            </w:r>
            <w:r w:rsidR="004857E4">
              <w:rPr>
                <w:rFonts w:cs="Arial"/>
              </w:rPr>
              <w:t>However,</w:t>
            </w:r>
            <w:r w:rsidR="00625535">
              <w:rPr>
                <w:rFonts w:cs="Arial"/>
              </w:rPr>
              <w:t xml:space="preserve"> </w:t>
            </w:r>
            <w:r w:rsidR="001073E1">
              <w:rPr>
                <w:rFonts w:cs="Arial"/>
              </w:rPr>
              <w:t xml:space="preserve">results </w:t>
            </w:r>
            <w:r w:rsidR="001A0A5D">
              <w:rPr>
                <w:rFonts w:cs="Arial"/>
              </w:rPr>
              <w:t xml:space="preserve">in year 1 are not </w:t>
            </w:r>
            <w:r w:rsidR="001073E1">
              <w:rPr>
                <w:rFonts w:cs="Arial"/>
              </w:rPr>
              <w:t xml:space="preserve">consistent in these areas, particularly regarding the Multiplication Check. </w:t>
            </w:r>
            <w:r w:rsidR="00ED00E5">
              <w:rPr>
                <w:rFonts w:cs="Arial"/>
              </w:rPr>
              <w:t xml:space="preserve">In the Phonics check, the size of the cohort has impacted </w:t>
            </w:r>
            <w:r w:rsidR="001A0A5D">
              <w:rPr>
                <w:rFonts w:cs="Arial"/>
              </w:rPr>
              <w:t xml:space="preserve">on </w:t>
            </w:r>
            <w:r w:rsidR="00ED00E5">
              <w:rPr>
                <w:rFonts w:cs="Arial"/>
              </w:rPr>
              <w:t xml:space="preserve">the presentation of the results, </w:t>
            </w:r>
            <w:r w:rsidR="000A6690">
              <w:rPr>
                <w:rFonts w:cs="Arial"/>
              </w:rPr>
              <w:t xml:space="preserve">the school would have been in line with national, however one child achieved 31 in the check, narrowly missing the pass mark. In addition to this, </w:t>
            </w:r>
            <w:r w:rsidR="006347D8">
              <w:rPr>
                <w:rFonts w:cs="Arial"/>
              </w:rPr>
              <w:t xml:space="preserve">50% of the cohort have SEND. The percentage of pupils passing the check at the end of year 2 is above the </w:t>
            </w:r>
            <w:r w:rsidR="00A57E8D">
              <w:rPr>
                <w:rFonts w:cs="Arial"/>
              </w:rPr>
              <w:t>n</w:t>
            </w:r>
            <w:r w:rsidR="006347D8">
              <w:rPr>
                <w:rFonts w:cs="Arial"/>
              </w:rPr>
              <w:t>ational standard.</w:t>
            </w:r>
          </w:p>
          <w:p w14:paraId="09051522" w14:textId="77777777" w:rsidR="00EC6AAF" w:rsidRPr="000D747D" w:rsidRDefault="00EC6AAF" w:rsidP="004C0630">
            <w:pPr>
              <w:suppressAutoHyphens w:val="0"/>
              <w:autoSpaceDN/>
              <w:rPr>
                <w:rFonts w:cs="Arial"/>
                <w:b/>
                <w:bCs/>
              </w:rPr>
            </w:pPr>
          </w:p>
          <w:p w14:paraId="193F53DF" w14:textId="37A22146" w:rsidR="00C86D6D" w:rsidRDefault="00EC6AAF" w:rsidP="004C0630">
            <w:pPr>
              <w:suppressAutoHyphens w:val="0"/>
              <w:autoSpaceDN/>
              <w:rPr>
                <w:rFonts w:cs="Arial"/>
                <w:b/>
                <w:bCs/>
              </w:rPr>
            </w:pPr>
            <w:r w:rsidRPr="000D747D">
              <w:rPr>
                <w:rFonts w:cs="Arial"/>
                <w:b/>
                <w:bCs/>
              </w:rPr>
              <w:t>MTC results</w:t>
            </w:r>
            <w:r w:rsidR="000D747D">
              <w:rPr>
                <w:rFonts w:cs="Arial"/>
                <w:b/>
                <w:bCs/>
              </w:rPr>
              <w:t xml:space="preserve"> 2024/2025</w:t>
            </w:r>
          </w:p>
          <w:tbl>
            <w:tblPr>
              <w:tblStyle w:val="TableGrid"/>
              <w:tblW w:w="0" w:type="auto"/>
              <w:tblLook w:val="04A0" w:firstRow="1" w:lastRow="0" w:firstColumn="1" w:lastColumn="0" w:noHBand="0" w:noVBand="1"/>
            </w:tblPr>
            <w:tblGrid>
              <w:gridCol w:w="3146"/>
              <w:gridCol w:w="1842"/>
              <w:gridCol w:w="1985"/>
              <w:gridCol w:w="1701"/>
            </w:tblGrid>
            <w:tr w:rsidR="001323E2" w14:paraId="5E0FE498" w14:textId="77777777" w:rsidTr="00F2469F">
              <w:tc>
                <w:tcPr>
                  <w:tcW w:w="8674" w:type="dxa"/>
                  <w:gridSpan w:val="4"/>
                </w:tcPr>
                <w:p w14:paraId="680D5CF9" w14:textId="42CCFE5F" w:rsidR="001323E2" w:rsidRPr="004857E4" w:rsidRDefault="001323E2" w:rsidP="001323E2">
                  <w:pPr>
                    <w:suppressAutoHyphens w:val="0"/>
                    <w:autoSpaceDN/>
                    <w:jc w:val="center"/>
                    <w:rPr>
                      <w:rFonts w:cs="Arial"/>
                      <w:b/>
                      <w:bCs/>
                      <w:sz w:val="20"/>
                      <w:szCs w:val="20"/>
                    </w:rPr>
                  </w:pPr>
                  <w:r w:rsidRPr="004857E4">
                    <w:rPr>
                      <w:rFonts w:cs="Arial"/>
                      <w:sz w:val="20"/>
                      <w:szCs w:val="20"/>
                    </w:rPr>
                    <w:t>2024/2025</w:t>
                  </w:r>
                </w:p>
              </w:tc>
            </w:tr>
            <w:tr w:rsidR="009655D0" w14:paraId="65D03922" w14:textId="77777777" w:rsidTr="00011687">
              <w:tc>
                <w:tcPr>
                  <w:tcW w:w="3146" w:type="dxa"/>
                </w:tcPr>
                <w:p w14:paraId="22C1968E" w14:textId="77777777" w:rsidR="009655D0" w:rsidRPr="004857E4" w:rsidRDefault="009655D0" w:rsidP="004C0630">
                  <w:pPr>
                    <w:suppressAutoHyphens w:val="0"/>
                    <w:autoSpaceDN/>
                    <w:rPr>
                      <w:rFonts w:cs="Arial"/>
                      <w:b/>
                      <w:bCs/>
                      <w:sz w:val="20"/>
                      <w:szCs w:val="20"/>
                    </w:rPr>
                  </w:pPr>
                </w:p>
              </w:tc>
              <w:tc>
                <w:tcPr>
                  <w:tcW w:w="1842" w:type="dxa"/>
                </w:tcPr>
                <w:p w14:paraId="77B9784F" w14:textId="74461197" w:rsidR="009655D0" w:rsidRPr="004857E4" w:rsidRDefault="00C70C1D" w:rsidP="004C0630">
                  <w:pPr>
                    <w:suppressAutoHyphens w:val="0"/>
                    <w:autoSpaceDN/>
                    <w:rPr>
                      <w:rFonts w:cs="Arial"/>
                      <w:sz w:val="20"/>
                      <w:szCs w:val="20"/>
                    </w:rPr>
                  </w:pPr>
                  <w:r w:rsidRPr="004857E4">
                    <w:rPr>
                      <w:rFonts w:cs="Arial"/>
                      <w:sz w:val="20"/>
                      <w:szCs w:val="20"/>
                    </w:rPr>
                    <w:t>Cohort</w:t>
                  </w:r>
                </w:p>
              </w:tc>
              <w:tc>
                <w:tcPr>
                  <w:tcW w:w="1985" w:type="dxa"/>
                </w:tcPr>
                <w:p w14:paraId="21496DC8" w14:textId="6FA947E9" w:rsidR="009655D0" w:rsidRPr="004857E4" w:rsidRDefault="00C70C1D" w:rsidP="004C0630">
                  <w:pPr>
                    <w:suppressAutoHyphens w:val="0"/>
                    <w:autoSpaceDN/>
                    <w:rPr>
                      <w:rFonts w:cs="Arial"/>
                      <w:sz w:val="20"/>
                      <w:szCs w:val="20"/>
                    </w:rPr>
                  </w:pPr>
                  <w:r w:rsidRPr="004857E4">
                    <w:rPr>
                      <w:rFonts w:cs="Arial"/>
                      <w:sz w:val="20"/>
                      <w:szCs w:val="20"/>
                    </w:rPr>
                    <w:t>School</w:t>
                  </w:r>
                </w:p>
              </w:tc>
              <w:tc>
                <w:tcPr>
                  <w:tcW w:w="1701" w:type="dxa"/>
                </w:tcPr>
                <w:p w14:paraId="7A95F6E2" w14:textId="7F7326BC" w:rsidR="009655D0" w:rsidRPr="004857E4" w:rsidRDefault="00C70C1D" w:rsidP="004C0630">
                  <w:pPr>
                    <w:suppressAutoHyphens w:val="0"/>
                    <w:autoSpaceDN/>
                    <w:rPr>
                      <w:rFonts w:cs="Arial"/>
                      <w:sz w:val="20"/>
                      <w:szCs w:val="20"/>
                    </w:rPr>
                  </w:pPr>
                  <w:r w:rsidRPr="004857E4">
                    <w:rPr>
                      <w:rFonts w:cs="Arial"/>
                      <w:sz w:val="20"/>
                      <w:szCs w:val="20"/>
                    </w:rPr>
                    <w:t>National</w:t>
                  </w:r>
                </w:p>
              </w:tc>
            </w:tr>
            <w:tr w:rsidR="00C70C1D" w14:paraId="51D5451E" w14:textId="77777777" w:rsidTr="00011687">
              <w:tc>
                <w:tcPr>
                  <w:tcW w:w="3146" w:type="dxa"/>
                </w:tcPr>
                <w:p w14:paraId="5BB7AD7F" w14:textId="0F04A2F5" w:rsidR="00C70C1D" w:rsidRPr="004857E4" w:rsidRDefault="001323E2" w:rsidP="004C0630">
                  <w:pPr>
                    <w:suppressAutoHyphens w:val="0"/>
                    <w:autoSpaceDN/>
                    <w:rPr>
                      <w:rFonts w:cs="Arial"/>
                      <w:sz w:val="20"/>
                      <w:szCs w:val="20"/>
                    </w:rPr>
                  </w:pPr>
                  <w:r w:rsidRPr="004857E4">
                    <w:rPr>
                      <w:rFonts w:cs="Arial"/>
                      <w:sz w:val="20"/>
                      <w:szCs w:val="20"/>
                    </w:rPr>
                    <w:t>% of pupils scoring full marks (25</w:t>
                  </w:r>
                  <w:r w:rsidR="001510CF" w:rsidRPr="004857E4">
                    <w:rPr>
                      <w:rFonts w:cs="Arial"/>
                      <w:sz w:val="20"/>
                      <w:szCs w:val="20"/>
                    </w:rPr>
                    <w:t>/25</w:t>
                  </w:r>
                  <w:r w:rsidRPr="004857E4">
                    <w:rPr>
                      <w:rFonts w:cs="Arial"/>
                      <w:sz w:val="20"/>
                      <w:szCs w:val="20"/>
                    </w:rPr>
                    <w:t>)</w:t>
                  </w:r>
                </w:p>
              </w:tc>
              <w:tc>
                <w:tcPr>
                  <w:tcW w:w="1842" w:type="dxa"/>
                </w:tcPr>
                <w:p w14:paraId="3087BBF3" w14:textId="2C8AD7EC" w:rsidR="00C70C1D" w:rsidRPr="004857E4" w:rsidRDefault="001510CF" w:rsidP="004C0630">
                  <w:pPr>
                    <w:suppressAutoHyphens w:val="0"/>
                    <w:autoSpaceDN/>
                    <w:rPr>
                      <w:rFonts w:cs="Arial"/>
                      <w:sz w:val="20"/>
                      <w:szCs w:val="20"/>
                    </w:rPr>
                  </w:pPr>
                  <w:r w:rsidRPr="004857E4">
                    <w:rPr>
                      <w:rFonts w:cs="Arial"/>
                      <w:sz w:val="20"/>
                      <w:szCs w:val="20"/>
                    </w:rPr>
                    <w:t>19</w:t>
                  </w:r>
                </w:p>
              </w:tc>
              <w:tc>
                <w:tcPr>
                  <w:tcW w:w="1985" w:type="dxa"/>
                </w:tcPr>
                <w:p w14:paraId="624238CF" w14:textId="39859E51" w:rsidR="00C70C1D" w:rsidRPr="004857E4" w:rsidRDefault="00011687" w:rsidP="004C0630">
                  <w:pPr>
                    <w:suppressAutoHyphens w:val="0"/>
                    <w:autoSpaceDN/>
                    <w:rPr>
                      <w:rFonts w:cs="Arial"/>
                      <w:sz w:val="20"/>
                      <w:szCs w:val="20"/>
                    </w:rPr>
                  </w:pPr>
                  <w:r w:rsidRPr="004857E4">
                    <w:rPr>
                      <w:rFonts w:cs="Arial"/>
                      <w:sz w:val="20"/>
                      <w:szCs w:val="20"/>
                    </w:rPr>
                    <w:t>26.%</w:t>
                  </w:r>
                </w:p>
              </w:tc>
              <w:tc>
                <w:tcPr>
                  <w:tcW w:w="1701" w:type="dxa"/>
                </w:tcPr>
                <w:p w14:paraId="218A4DBE" w14:textId="3D78FBB7" w:rsidR="00C70C1D" w:rsidRPr="004857E4" w:rsidRDefault="007F3685" w:rsidP="004C0630">
                  <w:pPr>
                    <w:suppressAutoHyphens w:val="0"/>
                    <w:autoSpaceDN/>
                    <w:rPr>
                      <w:rFonts w:cs="Arial"/>
                      <w:sz w:val="20"/>
                      <w:szCs w:val="20"/>
                    </w:rPr>
                  </w:pPr>
                  <w:r w:rsidRPr="004857E4">
                    <w:rPr>
                      <w:rFonts w:cs="Arial"/>
                      <w:sz w:val="20"/>
                      <w:szCs w:val="20"/>
                    </w:rPr>
                    <w:t>37%</w:t>
                  </w:r>
                </w:p>
              </w:tc>
            </w:tr>
            <w:tr w:rsidR="001510CF" w14:paraId="515D8F3C" w14:textId="77777777" w:rsidTr="00011687">
              <w:tc>
                <w:tcPr>
                  <w:tcW w:w="3146" w:type="dxa"/>
                </w:tcPr>
                <w:p w14:paraId="0E4564E7" w14:textId="579B755B" w:rsidR="001510CF" w:rsidRPr="004857E4" w:rsidRDefault="001510CF" w:rsidP="004C0630">
                  <w:pPr>
                    <w:suppressAutoHyphens w:val="0"/>
                    <w:autoSpaceDN/>
                    <w:rPr>
                      <w:rFonts w:cs="Arial"/>
                      <w:sz w:val="20"/>
                      <w:szCs w:val="20"/>
                    </w:rPr>
                  </w:pPr>
                  <w:r w:rsidRPr="004857E4">
                    <w:rPr>
                      <w:rFonts w:cs="Arial"/>
                      <w:sz w:val="20"/>
                      <w:szCs w:val="20"/>
                    </w:rPr>
                    <w:t>Average score out of 25</w:t>
                  </w:r>
                </w:p>
              </w:tc>
              <w:tc>
                <w:tcPr>
                  <w:tcW w:w="1842" w:type="dxa"/>
                </w:tcPr>
                <w:p w14:paraId="173CB761" w14:textId="597BF90E" w:rsidR="001510CF" w:rsidRPr="004857E4" w:rsidRDefault="001510CF" w:rsidP="004C0630">
                  <w:pPr>
                    <w:suppressAutoHyphens w:val="0"/>
                    <w:autoSpaceDN/>
                    <w:rPr>
                      <w:rFonts w:cs="Arial"/>
                      <w:sz w:val="20"/>
                      <w:szCs w:val="20"/>
                    </w:rPr>
                  </w:pPr>
                  <w:r w:rsidRPr="004857E4">
                    <w:rPr>
                      <w:rFonts w:cs="Arial"/>
                      <w:sz w:val="20"/>
                      <w:szCs w:val="20"/>
                    </w:rPr>
                    <w:t>18</w:t>
                  </w:r>
                </w:p>
              </w:tc>
              <w:tc>
                <w:tcPr>
                  <w:tcW w:w="1985" w:type="dxa"/>
                </w:tcPr>
                <w:p w14:paraId="0F53C654" w14:textId="32B97208" w:rsidR="001510CF" w:rsidRPr="004857E4" w:rsidRDefault="00011687" w:rsidP="004C0630">
                  <w:pPr>
                    <w:suppressAutoHyphens w:val="0"/>
                    <w:autoSpaceDN/>
                    <w:rPr>
                      <w:rFonts w:cs="Arial"/>
                      <w:sz w:val="20"/>
                      <w:szCs w:val="20"/>
                    </w:rPr>
                  </w:pPr>
                  <w:r w:rsidRPr="004857E4">
                    <w:rPr>
                      <w:rFonts w:cs="Arial"/>
                      <w:sz w:val="20"/>
                      <w:szCs w:val="20"/>
                    </w:rPr>
                    <w:t>19.1</w:t>
                  </w:r>
                </w:p>
              </w:tc>
              <w:tc>
                <w:tcPr>
                  <w:tcW w:w="1701" w:type="dxa"/>
                </w:tcPr>
                <w:p w14:paraId="1BEC3FF0" w14:textId="51AA6CB1" w:rsidR="001510CF" w:rsidRPr="004857E4" w:rsidRDefault="007F3685" w:rsidP="004C0630">
                  <w:pPr>
                    <w:suppressAutoHyphens w:val="0"/>
                    <w:autoSpaceDN/>
                    <w:rPr>
                      <w:rFonts w:cs="Arial"/>
                      <w:sz w:val="20"/>
                      <w:szCs w:val="20"/>
                    </w:rPr>
                  </w:pPr>
                  <w:r w:rsidRPr="004857E4">
                    <w:rPr>
                      <w:rFonts w:cs="Arial"/>
                      <w:sz w:val="20"/>
                      <w:szCs w:val="20"/>
                    </w:rPr>
                    <w:t>21</w:t>
                  </w:r>
                </w:p>
              </w:tc>
            </w:tr>
          </w:tbl>
          <w:p w14:paraId="568C98F7" w14:textId="77777777" w:rsidR="00C86D6D" w:rsidRPr="000D747D" w:rsidRDefault="00C86D6D" w:rsidP="004C0630">
            <w:pPr>
              <w:suppressAutoHyphens w:val="0"/>
              <w:autoSpaceDN/>
              <w:rPr>
                <w:rFonts w:cs="Arial"/>
                <w:b/>
                <w:bCs/>
              </w:rPr>
            </w:pPr>
          </w:p>
          <w:p w14:paraId="1876201F" w14:textId="77777777" w:rsidR="00EC6AAF" w:rsidRDefault="00EC6AAF" w:rsidP="004C0630">
            <w:pPr>
              <w:suppressAutoHyphens w:val="0"/>
              <w:autoSpaceDN/>
              <w:rPr>
                <w:rFonts w:cs="Arial"/>
              </w:rPr>
            </w:pPr>
          </w:p>
          <w:p w14:paraId="454199E2" w14:textId="4BF55CE7" w:rsidR="00D017A9" w:rsidRDefault="00EC6AAF" w:rsidP="004C0630">
            <w:pPr>
              <w:suppressAutoHyphens w:val="0"/>
              <w:autoSpaceDN/>
              <w:rPr>
                <w:rFonts w:cs="Arial"/>
                <w:b/>
                <w:bCs/>
              </w:rPr>
            </w:pPr>
            <w:r w:rsidRPr="000D747D">
              <w:rPr>
                <w:rFonts w:cs="Arial"/>
                <w:b/>
                <w:bCs/>
              </w:rPr>
              <w:t>Phonics results</w:t>
            </w:r>
            <w:r w:rsidR="000D747D" w:rsidRPr="000D747D">
              <w:rPr>
                <w:rFonts w:cs="Arial"/>
                <w:b/>
                <w:bCs/>
              </w:rPr>
              <w:t xml:space="preserve"> 2024/2025</w:t>
            </w:r>
          </w:p>
          <w:tbl>
            <w:tblPr>
              <w:tblStyle w:val="TableGrid"/>
              <w:tblW w:w="0" w:type="auto"/>
              <w:tblLook w:val="04A0" w:firstRow="1" w:lastRow="0" w:firstColumn="1" w:lastColumn="0" w:noHBand="0" w:noVBand="1"/>
            </w:tblPr>
            <w:tblGrid>
              <w:gridCol w:w="3146"/>
              <w:gridCol w:w="1842"/>
              <w:gridCol w:w="1985"/>
              <w:gridCol w:w="1701"/>
            </w:tblGrid>
            <w:tr w:rsidR="00C437F0" w14:paraId="2D65BF4D" w14:textId="77777777" w:rsidTr="00E87B0A">
              <w:tc>
                <w:tcPr>
                  <w:tcW w:w="8674" w:type="dxa"/>
                  <w:gridSpan w:val="4"/>
                </w:tcPr>
                <w:p w14:paraId="05306A2C" w14:textId="0864DAC7" w:rsidR="00C437F0" w:rsidRPr="004857E4" w:rsidRDefault="00C437F0" w:rsidP="00C437F0">
                  <w:pPr>
                    <w:suppressAutoHyphens w:val="0"/>
                    <w:autoSpaceDN/>
                    <w:jc w:val="center"/>
                    <w:rPr>
                      <w:rFonts w:eastAsia="Calibri" w:cs="Arial"/>
                      <w:b/>
                      <w:bCs/>
                      <w:sz w:val="20"/>
                      <w:szCs w:val="20"/>
                      <w:lang w:eastAsia="en-US"/>
                    </w:rPr>
                  </w:pPr>
                  <w:r w:rsidRPr="004857E4">
                    <w:rPr>
                      <w:rFonts w:eastAsia="Calibri" w:cs="Arial"/>
                      <w:sz w:val="20"/>
                      <w:szCs w:val="20"/>
                      <w:lang w:eastAsia="en-US"/>
                    </w:rPr>
                    <w:t>2024/2025</w:t>
                  </w:r>
                </w:p>
              </w:tc>
            </w:tr>
            <w:tr w:rsidR="00364784" w14:paraId="099AE3BF" w14:textId="77777777" w:rsidTr="00C437F0">
              <w:tc>
                <w:tcPr>
                  <w:tcW w:w="3146" w:type="dxa"/>
                </w:tcPr>
                <w:p w14:paraId="082C60DC" w14:textId="77777777" w:rsidR="00364784" w:rsidRPr="004857E4" w:rsidRDefault="00364784" w:rsidP="004C0630">
                  <w:pPr>
                    <w:suppressAutoHyphens w:val="0"/>
                    <w:autoSpaceDN/>
                    <w:rPr>
                      <w:rFonts w:eastAsia="Calibri" w:cs="Arial"/>
                      <w:b/>
                      <w:bCs/>
                      <w:sz w:val="20"/>
                      <w:szCs w:val="20"/>
                      <w:lang w:eastAsia="en-US"/>
                    </w:rPr>
                  </w:pPr>
                </w:p>
              </w:tc>
              <w:tc>
                <w:tcPr>
                  <w:tcW w:w="1842" w:type="dxa"/>
                </w:tcPr>
                <w:p w14:paraId="298C7F43" w14:textId="09428F8C" w:rsidR="00364784" w:rsidRPr="004857E4" w:rsidRDefault="00364784" w:rsidP="004C0630">
                  <w:pPr>
                    <w:suppressAutoHyphens w:val="0"/>
                    <w:autoSpaceDN/>
                    <w:rPr>
                      <w:rFonts w:eastAsia="Calibri" w:cs="Arial"/>
                      <w:sz w:val="20"/>
                      <w:szCs w:val="20"/>
                      <w:lang w:eastAsia="en-US"/>
                    </w:rPr>
                  </w:pPr>
                  <w:r w:rsidRPr="004857E4">
                    <w:rPr>
                      <w:rFonts w:eastAsia="Calibri" w:cs="Arial"/>
                      <w:sz w:val="20"/>
                      <w:szCs w:val="20"/>
                      <w:lang w:eastAsia="en-US"/>
                    </w:rPr>
                    <w:t>Cohort</w:t>
                  </w:r>
                </w:p>
              </w:tc>
              <w:tc>
                <w:tcPr>
                  <w:tcW w:w="1985" w:type="dxa"/>
                </w:tcPr>
                <w:p w14:paraId="0DFAEEAE" w14:textId="6ACE6E76" w:rsidR="00364784" w:rsidRPr="004857E4" w:rsidRDefault="00364784" w:rsidP="004C0630">
                  <w:pPr>
                    <w:suppressAutoHyphens w:val="0"/>
                    <w:autoSpaceDN/>
                    <w:rPr>
                      <w:rFonts w:eastAsia="Calibri" w:cs="Arial"/>
                      <w:sz w:val="20"/>
                      <w:szCs w:val="20"/>
                      <w:lang w:eastAsia="en-US"/>
                    </w:rPr>
                  </w:pPr>
                  <w:r w:rsidRPr="004857E4">
                    <w:rPr>
                      <w:rFonts w:eastAsia="Calibri" w:cs="Arial"/>
                      <w:sz w:val="20"/>
                      <w:szCs w:val="20"/>
                      <w:lang w:eastAsia="en-US"/>
                    </w:rPr>
                    <w:t>School</w:t>
                  </w:r>
                </w:p>
              </w:tc>
              <w:tc>
                <w:tcPr>
                  <w:tcW w:w="1701" w:type="dxa"/>
                </w:tcPr>
                <w:p w14:paraId="6EA34BAB" w14:textId="217FE94D" w:rsidR="00364784" w:rsidRPr="004857E4" w:rsidRDefault="00364784" w:rsidP="004C0630">
                  <w:pPr>
                    <w:suppressAutoHyphens w:val="0"/>
                    <w:autoSpaceDN/>
                    <w:rPr>
                      <w:rFonts w:eastAsia="Calibri" w:cs="Arial"/>
                      <w:sz w:val="20"/>
                      <w:szCs w:val="20"/>
                      <w:lang w:eastAsia="en-US"/>
                    </w:rPr>
                  </w:pPr>
                  <w:r w:rsidRPr="004857E4">
                    <w:rPr>
                      <w:rFonts w:eastAsia="Calibri" w:cs="Arial"/>
                      <w:sz w:val="20"/>
                      <w:szCs w:val="20"/>
                      <w:lang w:eastAsia="en-US"/>
                    </w:rPr>
                    <w:t>National</w:t>
                  </w:r>
                </w:p>
              </w:tc>
            </w:tr>
            <w:tr w:rsidR="002F49F2" w14:paraId="50326DEE" w14:textId="77777777" w:rsidTr="00C437F0">
              <w:tc>
                <w:tcPr>
                  <w:tcW w:w="3146" w:type="dxa"/>
                </w:tcPr>
                <w:p w14:paraId="3368B1FC" w14:textId="1FAD7B6A" w:rsidR="002F49F2" w:rsidRPr="004857E4" w:rsidRDefault="00D56791" w:rsidP="004C0630">
                  <w:pPr>
                    <w:suppressAutoHyphens w:val="0"/>
                    <w:autoSpaceDN/>
                    <w:rPr>
                      <w:rFonts w:eastAsia="Calibri" w:cs="Arial"/>
                      <w:sz w:val="20"/>
                      <w:szCs w:val="20"/>
                      <w:lang w:eastAsia="en-US"/>
                    </w:rPr>
                  </w:pPr>
                  <w:r w:rsidRPr="004857E4">
                    <w:rPr>
                      <w:rFonts w:eastAsia="Calibri" w:cs="Arial"/>
                      <w:sz w:val="20"/>
                      <w:szCs w:val="20"/>
                      <w:lang w:eastAsia="en-US"/>
                    </w:rPr>
                    <w:t>% of pupils passing in Year 1</w:t>
                  </w:r>
                </w:p>
              </w:tc>
              <w:tc>
                <w:tcPr>
                  <w:tcW w:w="1842" w:type="dxa"/>
                </w:tcPr>
                <w:p w14:paraId="5280CF30" w14:textId="37769B27" w:rsidR="002F49F2" w:rsidRPr="004857E4" w:rsidRDefault="007705DA" w:rsidP="004C0630">
                  <w:pPr>
                    <w:suppressAutoHyphens w:val="0"/>
                    <w:autoSpaceDN/>
                    <w:rPr>
                      <w:rFonts w:eastAsia="Calibri" w:cs="Arial"/>
                      <w:sz w:val="20"/>
                      <w:szCs w:val="20"/>
                      <w:lang w:eastAsia="en-US"/>
                    </w:rPr>
                  </w:pPr>
                  <w:r w:rsidRPr="004857E4">
                    <w:rPr>
                      <w:rFonts w:eastAsia="Calibri" w:cs="Arial"/>
                      <w:sz w:val="20"/>
                      <w:szCs w:val="20"/>
                      <w:lang w:eastAsia="en-US"/>
                    </w:rPr>
                    <w:t>5</w:t>
                  </w:r>
                </w:p>
              </w:tc>
              <w:tc>
                <w:tcPr>
                  <w:tcW w:w="1985" w:type="dxa"/>
                </w:tcPr>
                <w:p w14:paraId="32993895" w14:textId="0D488CEA" w:rsidR="002F49F2" w:rsidRPr="004857E4" w:rsidRDefault="007705DA" w:rsidP="004C0630">
                  <w:pPr>
                    <w:suppressAutoHyphens w:val="0"/>
                    <w:autoSpaceDN/>
                    <w:rPr>
                      <w:rFonts w:eastAsia="Calibri" w:cs="Arial"/>
                      <w:sz w:val="20"/>
                      <w:szCs w:val="20"/>
                      <w:lang w:eastAsia="en-US"/>
                    </w:rPr>
                  </w:pPr>
                  <w:r w:rsidRPr="004857E4">
                    <w:rPr>
                      <w:rFonts w:eastAsia="Calibri" w:cs="Arial"/>
                      <w:sz w:val="20"/>
                      <w:szCs w:val="20"/>
                      <w:lang w:eastAsia="en-US"/>
                    </w:rPr>
                    <w:t>60%</w:t>
                  </w:r>
                </w:p>
              </w:tc>
              <w:tc>
                <w:tcPr>
                  <w:tcW w:w="1701" w:type="dxa"/>
                </w:tcPr>
                <w:p w14:paraId="3B1C854B" w14:textId="1FB2ADC3" w:rsidR="002F49F2" w:rsidRPr="004857E4" w:rsidRDefault="00D63EC6" w:rsidP="004C0630">
                  <w:pPr>
                    <w:suppressAutoHyphens w:val="0"/>
                    <w:autoSpaceDN/>
                    <w:rPr>
                      <w:rFonts w:eastAsia="Calibri" w:cs="Arial"/>
                      <w:sz w:val="20"/>
                      <w:szCs w:val="20"/>
                      <w:lang w:eastAsia="en-US"/>
                    </w:rPr>
                  </w:pPr>
                  <w:r w:rsidRPr="004857E4">
                    <w:rPr>
                      <w:rFonts w:eastAsia="Calibri" w:cs="Arial"/>
                      <w:sz w:val="20"/>
                      <w:szCs w:val="20"/>
                      <w:lang w:eastAsia="en-US"/>
                    </w:rPr>
                    <w:t>80%</w:t>
                  </w:r>
                </w:p>
              </w:tc>
            </w:tr>
            <w:tr w:rsidR="002F49F2" w14:paraId="0492DC14" w14:textId="77777777" w:rsidTr="00C437F0">
              <w:tc>
                <w:tcPr>
                  <w:tcW w:w="3146" w:type="dxa"/>
                </w:tcPr>
                <w:p w14:paraId="39B01B94" w14:textId="706DD21A" w:rsidR="002F49F2" w:rsidRPr="004857E4" w:rsidRDefault="00D56791" w:rsidP="004C0630">
                  <w:pPr>
                    <w:suppressAutoHyphens w:val="0"/>
                    <w:autoSpaceDN/>
                    <w:rPr>
                      <w:rFonts w:eastAsia="Calibri" w:cs="Arial"/>
                      <w:sz w:val="20"/>
                      <w:szCs w:val="20"/>
                      <w:lang w:eastAsia="en-US"/>
                    </w:rPr>
                  </w:pPr>
                  <w:r w:rsidRPr="004857E4">
                    <w:rPr>
                      <w:rFonts w:eastAsia="Calibri" w:cs="Arial"/>
                      <w:sz w:val="20"/>
                      <w:szCs w:val="20"/>
                      <w:lang w:eastAsia="en-US"/>
                    </w:rPr>
                    <w:t>% of pupils passing check by the end of Year 2</w:t>
                  </w:r>
                </w:p>
              </w:tc>
              <w:tc>
                <w:tcPr>
                  <w:tcW w:w="1842" w:type="dxa"/>
                </w:tcPr>
                <w:p w14:paraId="341EC79F" w14:textId="7529658E" w:rsidR="002F49F2" w:rsidRPr="004857E4" w:rsidRDefault="007705DA" w:rsidP="004C0630">
                  <w:pPr>
                    <w:suppressAutoHyphens w:val="0"/>
                    <w:autoSpaceDN/>
                    <w:rPr>
                      <w:rFonts w:eastAsia="Calibri" w:cs="Arial"/>
                      <w:sz w:val="20"/>
                      <w:szCs w:val="20"/>
                      <w:lang w:eastAsia="en-US"/>
                    </w:rPr>
                  </w:pPr>
                  <w:r w:rsidRPr="004857E4">
                    <w:rPr>
                      <w:rFonts w:eastAsia="Calibri" w:cs="Arial"/>
                      <w:sz w:val="20"/>
                      <w:szCs w:val="20"/>
                      <w:lang w:eastAsia="en-US"/>
                    </w:rPr>
                    <w:t>18</w:t>
                  </w:r>
                </w:p>
              </w:tc>
              <w:tc>
                <w:tcPr>
                  <w:tcW w:w="1985" w:type="dxa"/>
                </w:tcPr>
                <w:p w14:paraId="1BDCE3D9" w14:textId="4EFE56CA" w:rsidR="002F49F2" w:rsidRPr="004857E4" w:rsidRDefault="007705DA" w:rsidP="004C0630">
                  <w:pPr>
                    <w:suppressAutoHyphens w:val="0"/>
                    <w:autoSpaceDN/>
                    <w:rPr>
                      <w:rFonts w:eastAsia="Calibri" w:cs="Arial"/>
                      <w:sz w:val="20"/>
                      <w:szCs w:val="20"/>
                      <w:lang w:eastAsia="en-US"/>
                    </w:rPr>
                  </w:pPr>
                  <w:r w:rsidRPr="004857E4">
                    <w:rPr>
                      <w:rFonts w:eastAsia="Calibri" w:cs="Arial"/>
                      <w:sz w:val="20"/>
                      <w:szCs w:val="20"/>
                      <w:lang w:eastAsia="en-US"/>
                    </w:rPr>
                    <w:t>94%</w:t>
                  </w:r>
                </w:p>
              </w:tc>
              <w:tc>
                <w:tcPr>
                  <w:tcW w:w="1701" w:type="dxa"/>
                </w:tcPr>
                <w:p w14:paraId="041DC172" w14:textId="0BD55ED8" w:rsidR="002F49F2" w:rsidRPr="004857E4" w:rsidRDefault="00D63EC6" w:rsidP="004C0630">
                  <w:pPr>
                    <w:suppressAutoHyphens w:val="0"/>
                    <w:autoSpaceDN/>
                    <w:rPr>
                      <w:rFonts w:eastAsia="Calibri" w:cs="Arial"/>
                      <w:sz w:val="20"/>
                      <w:szCs w:val="20"/>
                      <w:lang w:eastAsia="en-US"/>
                    </w:rPr>
                  </w:pPr>
                  <w:r w:rsidRPr="004857E4">
                    <w:rPr>
                      <w:rFonts w:eastAsia="Calibri" w:cs="Arial"/>
                      <w:sz w:val="20"/>
                      <w:szCs w:val="20"/>
                      <w:lang w:eastAsia="en-US"/>
                    </w:rPr>
                    <w:t>89%</w:t>
                  </w:r>
                </w:p>
              </w:tc>
            </w:tr>
          </w:tbl>
          <w:p w14:paraId="5D038B2A" w14:textId="77777777" w:rsidR="00D017A9" w:rsidRPr="000D747D" w:rsidRDefault="00D017A9" w:rsidP="004C0630">
            <w:pPr>
              <w:suppressAutoHyphens w:val="0"/>
              <w:autoSpaceDN/>
              <w:rPr>
                <w:rFonts w:eastAsia="Calibri" w:cs="Arial"/>
                <w:b/>
                <w:bCs/>
                <w:lang w:eastAsia="en-US"/>
              </w:rPr>
            </w:pPr>
          </w:p>
          <w:p w14:paraId="62E3DE37" w14:textId="77777777" w:rsidR="00C43008" w:rsidRDefault="00C43008" w:rsidP="00370AF0">
            <w:pPr>
              <w:suppressAutoHyphens w:val="0"/>
              <w:autoSpaceDN/>
              <w:rPr>
                <w:rFonts w:eastAsia="Calibri" w:cs="Arial"/>
                <w:lang w:eastAsia="en-US"/>
              </w:rPr>
            </w:pPr>
          </w:p>
          <w:p w14:paraId="5023926C" w14:textId="7EDEA0DE" w:rsidR="00C542BF" w:rsidRPr="0037150C" w:rsidRDefault="00C542BF" w:rsidP="00370AF0">
            <w:pPr>
              <w:suppressAutoHyphens w:val="0"/>
              <w:autoSpaceDN/>
              <w:rPr>
                <w:rFonts w:eastAsia="Calibri" w:cs="Arial"/>
                <w:lang w:eastAsia="en-US"/>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5661C411" w:rsidR="00E66558" w:rsidRDefault="000227A0">
            <w:pPr>
              <w:pStyle w:val="TableRow"/>
            </w:pPr>
            <w:r>
              <w:t>N/A</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339F19EA" w:rsidR="00ED5108" w:rsidRDefault="000227A0">
            <w:r>
              <w:t>N/A</w:t>
            </w: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06CA597" w:rsidR="00ED5108" w:rsidRDefault="000227A0">
            <w:r>
              <w:t>N/A</w:t>
            </w:r>
          </w:p>
        </w:tc>
      </w:tr>
    </w:tbl>
    <w:p w14:paraId="2A7D555F" w14:textId="77777777" w:rsidR="00E66558" w:rsidRDefault="00E66558">
      <w:pPr>
        <w:spacing w:after="0"/>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C026F" w14:textId="77777777" w:rsidR="00C81EBB" w:rsidRPr="008C7E23" w:rsidRDefault="00C81EBB" w:rsidP="00C81EBB">
            <w:pPr>
              <w:pStyle w:val="NoSpacing"/>
              <w:rPr>
                <w:rFonts w:ascii="Lato" w:eastAsia="Calibri" w:hAnsi="Lato"/>
                <w:lang w:eastAsia="en-US"/>
              </w:rPr>
            </w:pPr>
            <w:r w:rsidRPr="008C7E23">
              <w:rPr>
                <w:rFonts w:ascii="Lato" w:eastAsia="Calibri" w:hAnsi="Lato"/>
                <w:lang w:eastAsia="en-US"/>
              </w:rPr>
              <w:t>The document has been shared with SLT, and teaching staff, and will feature as an item on the staff meeting agenda for January 2024. The document has also been shared with the Chair of Governors and will be disseminated to other governors at the next LGB meeting on 31.01.24.</w:t>
            </w:r>
          </w:p>
          <w:p w14:paraId="4FC06BFD" w14:textId="77777777" w:rsidR="00E66558" w:rsidRPr="008C7E23" w:rsidRDefault="00C81EBB" w:rsidP="00C81EBB">
            <w:pPr>
              <w:spacing w:before="120" w:after="120"/>
              <w:rPr>
                <w:rFonts w:ascii="Lato" w:eastAsia="Calibri" w:hAnsi="Lato"/>
                <w:sz w:val="20"/>
                <w:szCs w:val="20"/>
                <w:lang w:eastAsia="en-US"/>
              </w:rPr>
            </w:pPr>
            <w:r w:rsidRPr="008C7E23">
              <w:rPr>
                <w:rFonts w:ascii="Lato" w:eastAsia="Calibri" w:hAnsi="Lato"/>
                <w:sz w:val="20"/>
                <w:szCs w:val="20"/>
                <w:lang w:eastAsia="en-US"/>
              </w:rPr>
              <w:t>The document is available on the website for parents and carers to view.</w:t>
            </w:r>
          </w:p>
          <w:p w14:paraId="2A7D5562" w14:textId="55255172" w:rsidR="00C81EBB" w:rsidRPr="00AA355B" w:rsidRDefault="008C7E23" w:rsidP="00C81EBB">
            <w:pPr>
              <w:spacing w:before="120" w:after="120"/>
              <w:rPr>
                <w:rFonts w:cs="Arial"/>
                <w:i/>
                <w:iCs/>
              </w:rPr>
            </w:pPr>
            <w:r w:rsidRPr="008C7E23">
              <w:rPr>
                <w:rFonts w:ascii="Lato" w:eastAsia="Calibri" w:hAnsi="Lato"/>
                <w:sz w:val="20"/>
                <w:szCs w:val="20"/>
                <w:lang w:eastAsia="en-US"/>
              </w:rPr>
              <w:t>Understanding of the strategy is seen through pupil progress meetings, and discussions regarding meeting the individual needs of PP pupils and ensuring that they make at least expected progress. It is also seen through the planning of learning and interventions for PP pupils.</w:t>
            </w:r>
          </w:p>
        </w:tc>
      </w:tr>
      <w:bookmarkEnd w:id="14"/>
      <w:bookmarkEnd w:id="15"/>
      <w:bookmarkEnd w:id="16"/>
    </w:tbl>
    <w:p w14:paraId="2A7D5564" w14:textId="77777777" w:rsidR="00E66558" w:rsidRDefault="00E66558"/>
    <w:sectPr w:rsidR="00E66558">
      <w:headerReference w:type="even" r:id="rId21"/>
      <w:headerReference w:type="default" r:id="rId22"/>
      <w:footerReference w:type="even" r:id="rId23"/>
      <w:footerReference w:type="default" r:id="rId24"/>
      <w:headerReference w:type="first" r:id="rId25"/>
      <w:footerReference w:type="first" r:id="rId2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64AF4" w14:textId="77777777" w:rsidR="00B34996" w:rsidRDefault="00B34996">
      <w:pPr>
        <w:spacing w:after="0"/>
      </w:pPr>
      <w:r>
        <w:separator/>
      </w:r>
    </w:p>
  </w:endnote>
  <w:endnote w:type="continuationSeparator" w:id="0">
    <w:p w14:paraId="7A9B6D7B" w14:textId="77777777" w:rsidR="00B34996" w:rsidRDefault="00B34996">
      <w:pPr>
        <w:spacing w:after="0"/>
      </w:pPr>
      <w:r>
        <w:continuationSeparator/>
      </w:r>
    </w:p>
  </w:endnote>
  <w:endnote w:type="continuationNotice" w:id="1">
    <w:p w14:paraId="7455D951" w14:textId="77777777" w:rsidR="00B34996" w:rsidRDefault="00B349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965F" w14:textId="77777777" w:rsidR="00130148" w:rsidRDefault="00130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DB71" w14:textId="77777777" w:rsidR="00130148" w:rsidRDefault="00130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245D" w14:textId="77777777" w:rsidR="00B34996" w:rsidRDefault="00B34996">
      <w:pPr>
        <w:spacing w:after="0"/>
      </w:pPr>
      <w:r>
        <w:separator/>
      </w:r>
    </w:p>
  </w:footnote>
  <w:footnote w:type="continuationSeparator" w:id="0">
    <w:p w14:paraId="527BBFCA" w14:textId="77777777" w:rsidR="00B34996" w:rsidRDefault="00B34996">
      <w:pPr>
        <w:spacing w:after="0"/>
      </w:pPr>
      <w:r>
        <w:continuationSeparator/>
      </w:r>
    </w:p>
  </w:footnote>
  <w:footnote w:type="continuationNotice" w:id="1">
    <w:p w14:paraId="0134EE7F" w14:textId="77777777" w:rsidR="00B34996" w:rsidRDefault="00B349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E240" w14:textId="5C2470EC" w:rsidR="00130148" w:rsidRDefault="00130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D0CFFEC" w:rsidR="00C373EA" w:rsidRDefault="00C37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8A8E" w14:textId="5E902D3D" w:rsidR="00130148" w:rsidRDefault="00130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1F11FEE"/>
    <w:multiLevelType w:val="hybridMultilevel"/>
    <w:tmpl w:val="CA42BF3E"/>
    <w:lvl w:ilvl="0" w:tplc="4E4045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3"/>
  </w:num>
  <w:num w:numId="2" w16cid:durableId="1628730595">
    <w:abstractNumId w:val="1"/>
  </w:num>
  <w:num w:numId="3" w16cid:durableId="497188144">
    <w:abstractNumId w:val="4"/>
  </w:num>
  <w:num w:numId="4" w16cid:durableId="1138914232">
    <w:abstractNumId w:val="5"/>
  </w:num>
  <w:num w:numId="5" w16cid:durableId="857932188">
    <w:abstractNumId w:val="0"/>
  </w:num>
  <w:num w:numId="6" w16cid:durableId="798501009">
    <w:abstractNumId w:val="6"/>
  </w:num>
  <w:num w:numId="7" w16cid:durableId="1210847263">
    <w:abstractNumId w:val="10"/>
  </w:num>
  <w:num w:numId="8" w16cid:durableId="982348153">
    <w:abstractNumId w:val="14"/>
  </w:num>
  <w:num w:numId="9" w16cid:durableId="1529290868">
    <w:abstractNumId w:val="12"/>
  </w:num>
  <w:num w:numId="10" w16cid:durableId="1171066271">
    <w:abstractNumId w:val="11"/>
  </w:num>
  <w:num w:numId="11" w16cid:durableId="1453552857">
    <w:abstractNumId w:val="2"/>
  </w:num>
  <w:num w:numId="12" w16cid:durableId="1812097430">
    <w:abstractNumId w:val="13"/>
  </w:num>
  <w:num w:numId="13" w16cid:durableId="42288650">
    <w:abstractNumId w:val="8"/>
  </w:num>
  <w:num w:numId="14" w16cid:durableId="1721712531">
    <w:abstractNumId w:val="7"/>
  </w:num>
  <w:num w:numId="15" w16cid:durableId="5007810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AE0"/>
    <w:rsid w:val="00003A45"/>
    <w:rsid w:val="000043A1"/>
    <w:rsid w:val="00006FB9"/>
    <w:rsid w:val="0001035C"/>
    <w:rsid w:val="00011687"/>
    <w:rsid w:val="0001196C"/>
    <w:rsid w:val="0001212B"/>
    <w:rsid w:val="000132D5"/>
    <w:rsid w:val="0002000B"/>
    <w:rsid w:val="00020B0D"/>
    <w:rsid w:val="000227A0"/>
    <w:rsid w:val="00023729"/>
    <w:rsid w:val="000243B4"/>
    <w:rsid w:val="0002530E"/>
    <w:rsid w:val="0002710D"/>
    <w:rsid w:val="000316D8"/>
    <w:rsid w:val="0003238A"/>
    <w:rsid w:val="00035AE8"/>
    <w:rsid w:val="00036678"/>
    <w:rsid w:val="00036CF4"/>
    <w:rsid w:val="00037D4D"/>
    <w:rsid w:val="0004492C"/>
    <w:rsid w:val="000452EB"/>
    <w:rsid w:val="00045603"/>
    <w:rsid w:val="000459C1"/>
    <w:rsid w:val="000463AE"/>
    <w:rsid w:val="000507A3"/>
    <w:rsid w:val="0005141A"/>
    <w:rsid w:val="00060A62"/>
    <w:rsid w:val="00060F23"/>
    <w:rsid w:val="0006140D"/>
    <w:rsid w:val="00064366"/>
    <w:rsid w:val="000667D5"/>
    <w:rsid w:val="00066B73"/>
    <w:rsid w:val="00071481"/>
    <w:rsid w:val="000717B4"/>
    <w:rsid w:val="000720C7"/>
    <w:rsid w:val="00075FAE"/>
    <w:rsid w:val="00082F38"/>
    <w:rsid w:val="000837DB"/>
    <w:rsid w:val="0008384B"/>
    <w:rsid w:val="0008467F"/>
    <w:rsid w:val="000929EC"/>
    <w:rsid w:val="00093CDE"/>
    <w:rsid w:val="00094360"/>
    <w:rsid w:val="000949C2"/>
    <w:rsid w:val="000970A5"/>
    <w:rsid w:val="000A13F1"/>
    <w:rsid w:val="000A5C58"/>
    <w:rsid w:val="000A6379"/>
    <w:rsid w:val="000A6690"/>
    <w:rsid w:val="000B0D49"/>
    <w:rsid w:val="000B203E"/>
    <w:rsid w:val="000C563D"/>
    <w:rsid w:val="000C795C"/>
    <w:rsid w:val="000D22B0"/>
    <w:rsid w:val="000D35C9"/>
    <w:rsid w:val="000D520C"/>
    <w:rsid w:val="000D6596"/>
    <w:rsid w:val="000D6779"/>
    <w:rsid w:val="000D747D"/>
    <w:rsid w:val="000E0C22"/>
    <w:rsid w:val="000E221B"/>
    <w:rsid w:val="000E6DF0"/>
    <w:rsid w:val="000F3B6A"/>
    <w:rsid w:val="0010004D"/>
    <w:rsid w:val="001037CB"/>
    <w:rsid w:val="00104A49"/>
    <w:rsid w:val="0010629E"/>
    <w:rsid w:val="00106FB9"/>
    <w:rsid w:val="001073E1"/>
    <w:rsid w:val="00114288"/>
    <w:rsid w:val="00115538"/>
    <w:rsid w:val="00116FA8"/>
    <w:rsid w:val="00120AB1"/>
    <w:rsid w:val="00123A7F"/>
    <w:rsid w:val="001268B4"/>
    <w:rsid w:val="001278D0"/>
    <w:rsid w:val="00127F72"/>
    <w:rsid w:val="00130148"/>
    <w:rsid w:val="001323E2"/>
    <w:rsid w:val="00136F97"/>
    <w:rsid w:val="00140646"/>
    <w:rsid w:val="001433F6"/>
    <w:rsid w:val="00147A4B"/>
    <w:rsid w:val="001510CF"/>
    <w:rsid w:val="00152554"/>
    <w:rsid w:val="00153BF9"/>
    <w:rsid w:val="00155944"/>
    <w:rsid w:val="001559D7"/>
    <w:rsid w:val="0016249F"/>
    <w:rsid w:val="0016288E"/>
    <w:rsid w:val="0016523C"/>
    <w:rsid w:val="001671ED"/>
    <w:rsid w:val="00170714"/>
    <w:rsid w:val="001715EA"/>
    <w:rsid w:val="0017264D"/>
    <w:rsid w:val="001727FA"/>
    <w:rsid w:val="00172B0F"/>
    <w:rsid w:val="00173D4C"/>
    <w:rsid w:val="001759B6"/>
    <w:rsid w:val="001761E3"/>
    <w:rsid w:val="00181A7E"/>
    <w:rsid w:val="00182FD8"/>
    <w:rsid w:val="00183218"/>
    <w:rsid w:val="00184079"/>
    <w:rsid w:val="00185988"/>
    <w:rsid w:val="00186666"/>
    <w:rsid w:val="00186D59"/>
    <w:rsid w:val="00187050"/>
    <w:rsid w:val="001873B6"/>
    <w:rsid w:val="001901E6"/>
    <w:rsid w:val="00191305"/>
    <w:rsid w:val="001948FB"/>
    <w:rsid w:val="00195B55"/>
    <w:rsid w:val="00195FFA"/>
    <w:rsid w:val="00197BBA"/>
    <w:rsid w:val="001A0A5D"/>
    <w:rsid w:val="001A2FE8"/>
    <w:rsid w:val="001A30C8"/>
    <w:rsid w:val="001A33AC"/>
    <w:rsid w:val="001B4339"/>
    <w:rsid w:val="001B6EB6"/>
    <w:rsid w:val="001C1C51"/>
    <w:rsid w:val="001C2F78"/>
    <w:rsid w:val="001C6F37"/>
    <w:rsid w:val="001C7A07"/>
    <w:rsid w:val="001D44EA"/>
    <w:rsid w:val="001D4FC9"/>
    <w:rsid w:val="001E0ECA"/>
    <w:rsid w:val="001E206F"/>
    <w:rsid w:val="001E3A25"/>
    <w:rsid w:val="001E5750"/>
    <w:rsid w:val="001E66BA"/>
    <w:rsid w:val="001E7739"/>
    <w:rsid w:val="001F323C"/>
    <w:rsid w:val="001F3DB4"/>
    <w:rsid w:val="001F7564"/>
    <w:rsid w:val="00203DB9"/>
    <w:rsid w:val="00204F40"/>
    <w:rsid w:val="00205DEF"/>
    <w:rsid w:val="002066F6"/>
    <w:rsid w:val="002112C3"/>
    <w:rsid w:val="00211B24"/>
    <w:rsid w:val="002131E5"/>
    <w:rsid w:val="00216C8A"/>
    <w:rsid w:val="002172A9"/>
    <w:rsid w:val="00217E2C"/>
    <w:rsid w:val="00226317"/>
    <w:rsid w:val="00231539"/>
    <w:rsid w:val="00231B82"/>
    <w:rsid w:val="00232261"/>
    <w:rsid w:val="00235514"/>
    <w:rsid w:val="00242093"/>
    <w:rsid w:val="00242C78"/>
    <w:rsid w:val="00243F22"/>
    <w:rsid w:val="002447BD"/>
    <w:rsid w:val="002523E3"/>
    <w:rsid w:val="00252A5A"/>
    <w:rsid w:val="00252AD6"/>
    <w:rsid w:val="002542CE"/>
    <w:rsid w:val="00257A4E"/>
    <w:rsid w:val="00261956"/>
    <w:rsid w:val="00264AF5"/>
    <w:rsid w:val="00265CC7"/>
    <w:rsid w:val="00266FA5"/>
    <w:rsid w:val="00272430"/>
    <w:rsid w:val="00276FBA"/>
    <w:rsid w:val="00277665"/>
    <w:rsid w:val="0027776A"/>
    <w:rsid w:val="00281784"/>
    <w:rsid w:val="002837AE"/>
    <w:rsid w:val="002920F4"/>
    <w:rsid w:val="0029306E"/>
    <w:rsid w:val="00293224"/>
    <w:rsid w:val="002940F3"/>
    <w:rsid w:val="00295842"/>
    <w:rsid w:val="002A5FA9"/>
    <w:rsid w:val="002A7DBF"/>
    <w:rsid w:val="002B3574"/>
    <w:rsid w:val="002B3902"/>
    <w:rsid w:val="002B6B74"/>
    <w:rsid w:val="002B76F8"/>
    <w:rsid w:val="002C6AE7"/>
    <w:rsid w:val="002D2D4B"/>
    <w:rsid w:val="002D345A"/>
    <w:rsid w:val="002D3805"/>
    <w:rsid w:val="002E060A"/>
    <w:rsid w:val="002E14C7"/>
    <w:rsid w:val="002E1F65"/>
    <w:rsid w:val="002E1FB4"/>
    <w:rsid w:val="002E262E"/>
    <w:rsid w:val="002E29AE"/>
    <w:rsid w:val="002E66AE"/>
    <w:rsid w:val="002E7763"/>
    <w:rsid w:val="002F157D"/>
    <w:rsid w:val="002F49F2"/>
    <w:rsid w:val="002F4A02"/>
    <w:rsid w:val="002F4C6F"/>
    <w:rsid w:val="002F5011"/>
    <w:rsid w:val="002F5842"/>
    <w:rsid w:val="002F7847"/>
    <w:rsid w:val="002F7A20"/>
    <w:rsid w:val="00304226"/>
    <w:rsid w:val="00306CB7"/>
    <w:rsid w:val="00310CCB"/>
    <w:rsid w:val="003111F5"/>
    <w:rsid w:val="003122D6"/>
    <w:rsid w:val="00317664"/>
    <w:rsid w:val="0032067A"/>
    <w:rsid w:val="00321CE7"/>
    <w:rsid w:val="0032374C"/>
    <w:rsid w:val="00324B1D"/>
    <w:rsid w:val="00326C06"/>
    <w:rsid w:val="00326FE3"/>
    <w:rsid w:val="00332449"/>
    <w:rsid w:val="00336200"/>
    <w:rsid w:val="00337418"/>
    <w:rsid w:val="0033767A"/>
    <w:rsid w:val="003451ED"/>
    <w:rsid w:val="00347B92"/>
    <w:rsid w:val="00351D83"/>
    <w:rsid w:val="00352197"/>
    <w:rsid w:val="00353E46"/>
    <w:rsid w:val="003576C4"/>
    <w:rsid w:val="0036277A"/>
    <w:rsid w:val="00362C50"/>
    <w:rsid w:val="00363E7E"/>
    <w:rsid w:val="00364784"/>
    <w:rsid w:val="00366AB0"/>
    <w:rsid w:val="003700E8"/>
    <w:rsid w:val="00370AF0"/>
    <w:rsid w:val="0037150C"/>
    <w:rsid w:val="0037437C"/>
    <w:rsid w:val="0038146B"/>
    <w:rsid w:val="0038340F"/>
    <w:rsid w:val="00384056"/>
    <w:rsid w:val="00384457"/>
    <w:rsid w:val="00384B7E"/>
    <w:rsid w:val="00384F24"/>
    <w:rsid w:val="00391A93"/>
    <w:rsid w:val="00392FD6"/>
    <w:rsid w:val="003932AE"/>
    <w:rsid w:val="0039756B"/>
    <w:rsid w:val="003A32B2"/>
    <w:rsid w:val="003A47DD"/>
    <w:rsid w:val="003A5F67"/>
    <w:rsid w:val="003A634F"/>
    <w:rsid w:val="003B14C1"/>
    <w:rsid w:val="003B2884"/>
    <w:rsid w:val="003B588A"/>
    <w:rsid w:val="003B621D"/>
    <w:rsid w:val="003C4388"/>
    <w:rsid w:val="003C4C27"/>
    <w:rsid w:val="003C7CDB"/>
    <w:rsid w:val="003C7F7B"/>
    <w:rsid w:val="003D0CD6"/>
    <w:rsid w:val="003D2EAA"/>
    <w:rsid w:val="003D5DB7"/>
    <w:rsid w:val="003D7A81"/>
    <w:rsid w:val="003D7CEA"/>
    <w:rsid w:val="003E054C"/>
    <w:rsid w:val="003E1EC5"/>
    <w:rsid w:val="003E27A0"/>
    <w:rsid w:val="003E2CC6"/>
    <w:rsid w:val="003E3872"/>
    <w:rsid w:val="003E5D98"/>
    <w:rsid w:val="003F2438"/>
    <w:rsid w:val="003F548D"/>
    <w:rsid w:val="003F78D6"/>
    <w:rsid w:val="00402355"/>
    <w:rsid w:val="004044AA"/>
    <w:rsid w:val="004044C8"/>
    <w:rsid w:val="00404F3F"/>
    <w:rsid w:val="00405763"/>
    <w:rsid w:val="00406291"/>
    <w:rsid w:val="00410B5D"/>
    <w:rsid w:val="0041158E"/>
    <w:rsid w:val="00411E09"/>
    <w:rsid w:val="004132E8"/>
    <w:rsid w:val="00413BEC"/>
    <w:rsid w:val="00421B06"/>
    <w:rsid w:val="0042265E"/>
    <w:rsid w:val="00424ED7"/>
    <w:rsid w:val="00424F9E"/>
    <w:rsid w:val="00425258"/>
    <w:rsid w:val="00426217"/>
    <w:rsid w:val="00431A80"/>
    <w:rsid w:val="0043511B"/>
    <w:rsid w:val="00435A89"/>
    <w:rsid w:val="004460AD"/>
    <w:rsid w:val="00450846"/>
    <w:rsid w:val="00452267"/>
    <w:rsid w:val="00453307"/>
    <w:rsid w:val="00454CA3"/>
    <w:rsid w:val="00455A02"/>
    <w:rsid w:val="00456DF7"/>
    <w:rsid w:val="00457E36"/>
    <w:rsid w:val="00460BD3"/>
    <w:rsid w:val="00462F8F"/>
    <w:rsid w:val="00466198"/>
    <w:rsid w:val="00466496"/>
    <w:rsid w:val="004708F2"/>
    <w:rsid w:val="00471594"/>
    <w:rsid w:val="004724DE"/>
    <w:rsid w:val="004770FE"/>
    <w:rsid w:val="00477584"/>
    <w:rsid w:val="00477ADC"/>
    <w:rsid w:val="00477D56"/>
    <w:rsid w:val="0048157F"/>
    <w:rsid w:val="00481D56"/>
    <w:rsid w:val="004857E4"/>
    <w:rsid w:val="00490408"/>
    <w:rsid w:val="004935EC"/>
    <w:rsid w:val="004A4C45"/>
    <w:rsid w:val="004A5A98"/>
    <w:rsid w:val="004B0485"/>
    <w:rsid w:val="004B1FF3"/>
    <w:rsid w:val="004B376D"/>
    <w:rsid w:val="004B3862"/>
    <w:rsid w:val="004B428E"/>
    <w:rsid w:val="004B4D0A"/>
    <w:rsid w:val="004B4D37"/>
    <w:rsid w:val="004C0630"/>
    <w:rsid w:val="004C42F0"/>
    <w:rsid w:val="004C7E8E"/>
    <w:rsid w:val="004D1586"/>
    <w:rsid w:val="004D2D57"/>
    <w:rsid w:val="004D374B"/>
    <w:rsid w:val="004D50C8"/>
    <w:rsid w:val="004D5133"/>
    <w:rsid w:val="004D6B72"/>
    <w:rsid w:val="004E1D73"/>
    <w:rsid w:val="004E4B27"/>
    <w:rsid w:val="004E72DD"/>
    <w:rsid w:val="004F0578"/>
    <w:rsid w:val="004F3BC8"/>
    <w:rsid w:val="005025FB"/>
    <w:rsid w:val="00503462"/>
    <w:rsid w:val="00503CAF"/>
    <w:rsid w:val="00507B36"/>
    <w:rsid w:val="0051286E"/>
    <w:rsid w:val="00516021"/>
    <w:rsid w:val="00516457"/>
    <w:rsid w:val="00516641"/>
    <w:rsid w:val="0051729F"/>
    <w:rsid w:val="00520A0C"/>
    <w:rsid w:val="005257B2"/>
    <w:rsid w:val="00525D9D"/>
    <w:rsid w:val="005271ED"/>
    <w:rsid w:val="00530950"/>
    <w:rsid w:val="00530E37"/>
    <w:rsid w:val="005341F0"/>
    <w:rsid w:val="00535946"/>
    <w:rsid w:val="005423B6"/>
    <w:rsid w:val="005452CF"/>
    <w:rsid w:val="005464A1"/>
    <w:rsid w:val="00546F12"/>
    <w:rsid w:val="0055339C"/>
    <w:rsid w:val="00553936"/>
    <w:rsid w:val="005542CC"/>
    <w:rsid w:val="00554AF1"/>
    <w:rsid w:val="00557D0E"/>
    <w:rsid w:val="00560424"/>
    <w:rsid w:val="0056058B"/>
    <w:rsid w:val="00562B3C"/>
    <w:rsid w:val="00562FF3"/>
    <w:rsid w:val="00564E40"/>
    <w:rsid w:val="0057184D"/>
    <w:rsid w:val="005750E2"/>
    <w:rsid w:val="005770F7"/>
    <w:rsid w:val="0058313F"/>
    <w:rsid w:val="00584E16"/>
    <w:rsid w:val="00585859"/>
    <w:rsid w:val="00586FBC"/>
    <w:rsid w:val="005879C9"/>
    <w:rsid w:val="00594632"/>
    <w:rsid w:val="00594CAD"/>
    <w:rsid w:val="005A1D0B"/>
    <w:rsid w:val="005A2098"/>
    <w:rsid w:val="005A3C6B"/>
    <w:rsid w:val="005B1EA5"/>
    <w:rsid w:val="005B3FC4"/>
    <w:rsid w:val="005C4C5F"/>
    <w:rsid w:val="005C54A0"/>
    <w:rsid w:val="005D0D15"/>
    <w:rsid w:val="005D7176"/>
    <w:rsid w:val="005E18CB"/>
    <w:rsid w:val="005E1F24"/>
    <w:rsid w:val="005E3667"/>
    <w:rsid w:val="005E73F1"/>
    <w:rsid w:val="005F0636"/>
    <w:rsid w:val="005F07EF"/>
    <w:rsid w:val="005F16B6"/>
    <w:rsid w:val="005F36EC"/>
    <w:rsid w:val="005F5224"/>
    <w:rsid w:val="00600B2E"/>
    <w:rsid w:val="00601122"/>
    <w:rsid w:val="006028BE"/>
    <w:rsid w:val="006064DA"/>
    <w:rsid w:val="00606521"/>
    <w:rsid w:val="00607CEB"/>
    <w:rsid w:val="00613299"/>
    <w:rsid w:val="0061762D"/>
    <w:rsid w:val="00621C36"/>
    <w:rsid w:val="00623F26"/>
    <w:rsid w:val="00625535"/>
    <w:rsid w:val="00630857"/>
    <w:rsid w:val="00634238"/>
    <w:rsid w:val="006347D8"/>
    <w:rsid w:val="00635FBC"/>
    <w:rsid w:val="00637728"/>
    <w:rsid w:val="0064113A"/>
    <w:rsid w:val="0064167B"/>
    <w:rsid w:val="0064327D"/>
    <w:rsid w:val="00644002"/>
    <w:rsid w:val="006458B1"/>
    <w:rsid w:val="00650529"/>
    <w:rsid w:val="00650BAB"/>
    <w:rsid w:val="00651737"/>
    <w:rsid w:val="006652DD"/>
    <w:rsid w:val="006658FB"/>
    <w:rsid w:val="00666362"/>
    <w:rsid w:val="006671BF"/>
    <w:rsid w:val="00667F8E"/>
    <w:rsid w:val="00672A7D"/>
    <w:rsid w:val="00676028"/>
    <w:rsid w:val="0067796D"/>
    <w:rsid w:val="00680DF4"/>
    <w:rsid w:val="00681416"/>
    <w:rsid w:val="00682F70"/>
    <w:rsid w:val="00685507"/>
    <w:rsid w:val="00686251"/>
    <w:rsid w:val="00696669"/>
    <w:rsid w:val="006A06F5"/>
    <w:rsid w:val="006A0ED2"/>
    <w:rsid w:val="006A1FD6"/>
    <w:rsid w:val="006A47DA"/>
    <w:rsid w:val="006A7E0D"/>
    <w:rsid w:val="006B0A73"/>
    <w:rsid w:val="006B1A56"/>
    <w:rsid w:val="006B2565"/>
    <w:rsid w:val="006B5A6B"/>
    <w:rsid w:val="006C0EA2"/>
    <w:rsid w:val="006C0F82"/>
    <w:rsid w:val="006C25E8"/>
    <w:rsid w:val="006C332E"/>
    <w:rsid w:val="006C5901"/>
    <w:rsid w:val="006D00F1"/>
    <w:rsid w:val="006D07F3"/>
    <w:rsid w:val="006D2288"/>
    <w:rsid w:val="006D2CD6"/>
    <w:rsid w:val="006D30E8"/>
    <w:rsid w:val="006D377A"/>
    <w:rsid w:val="006D4222"/>
    <w:rsid w:val="006D6372"/>
    <w:rsid w:val="006D68C4"/>
    <w:rsid w:val="006D68FD"/>
    <w:rsid w:val="006D6E5C"/>
    <w:rsid w:val="006E02AF"/>
    <w:rsid w:val="006E0786"/>
    <w:rsid w:val="006E2339"/>
    <w:rsid w:val="006E38FD"/>
    <w:rsid w:val="006E63BD"/>
    <w:rsid w:val="006E6B4A"/>
    <w:rsid w:val="006E7449"/>
    <w:rsid w:val="006E7FB1"/>
    <w:rsid w:val="006F0634"/>
    <w:rsid w:val="006F1598"/>
    <w:rsid w:val="006F2604"/>
    <w:rsid w:val="006F2AED"/>
    <w:rsid w:val="006F5319"/>
    <w:rsid w:val="006F53C9"/>
    <w:rsid w:val="006F55FD"/>
    <w:rsid w:val="006F5D21"/>
    <w:rsid w:val="006F69C2"/>
    <w:rsid w:val="00704792"/>
    <w:rsid w:val="007065C7"/>
    <w:rsid w:val="007109F6"/>
    <w:rsid w:val="00710C82"/>
    <w:rsid w:val="00711BE3"/>
    <w:rsid w:val="00720EDF"/>
    <w:rsid w:val="00721B51"/>
    <w:rsid w:val="00722746"/>
    <w:rsid w:val="00724FA7"/>
    <w:rsid w:val="00725415"/>
    <w:rsid w:val="007271F0"/>
    <w:rsid w:val="00727505"/>
    <w:rsid w:val="007301D7"/>
    <w:rsid w:val="00731581"/>
    <w:rsid w:val="0073481D"/>
    <w:rsid w:val="00734C72"/>
    <w:rsid w:val="007357D3"/>
    <w:rsid w:val="00741B9E"/>
    <w:rsid w:val="00743DAC"/>
    <w:rsid w:val="007455B3"/>
    <w:rsid w:val="007502CD"/>
    <w:rsid w:val="00752AE7"/>
    <w:rsid w:val="00752D3B"/>
    <w:rsid w:val="0075337B"/>
    <w:rsid w:val="007543D7"/>
    <w:rsid w:val="00755CD4"/>
    <w:rsid w:val="00757F96"/>
    <w:rsid w:val="00760FE7"/>
    <w:rsid w:val="007610B5"/>
    <w:rsid w:val="007623CB"/>
    <w:rsid w:val="00762652"/>
    <w:rsid w:val="0076359B"/>
    <w:rsid w:val="00763C6A"/>
    <w:rsid w:val="00763DBB"/>
    <w:rsid w:val="00764551"/>
    <w:rsid w:val="007658A9"/>
    <w:rsid w:val="0076650E"/>
    <w:rsid w:val="007677B8"/>
    <w:rsid w:val="007705DA"/>
    <w:rsid w:val="00774363"/>
    <w:rsid w:val="00776882"/>
    <w:rsid w:val="0078008F"/>
    <w:rsid w:val="0078022B"/>
    <w:rsid w:val="00781713"/>
    <w:rsid w:val="00785285"/>
    <w:rsid w:val="0078529D"/>
    <w:rsid w:val="007854A2"/>
    <w:rsid w:val="00785735"/>
    <w:rsid w:val="0078587C"/>
    <w:rsid w:val="00785E77"/>
    <w:rsid w:val="00786C32"/>
    <w:rsid w:val="00787DC1"/>
    <w:rsid w:val="007900C9"/>
    <w:rsid w:val="0079128D"/>
    <w:rsid w:val="00794070"/>
    <w:rsid w:val="007A63CA"/>
    <w:rsid w:val="007A713B"/>
    <w:rsid w:val="007A7DA0"/>
    <w:rsid w:val="007B1476"/>
    <w:rsid w:val="007B64E5"/>
    <w:rsid w:val="007C2F04"/>
    <w:rsid w:val="007C7117"/>
    <w:rsid w:val="007D0D72"/>
    <w:rsid w:val="007D2B5D"/>
    <w:rsid w:val="007D55E1"/>
    <w:rsid w:val="007E176A"/>
    <w:rsid w:val="007E45AA"/>
    <w:rsid w:val="007F06E5"/>
    <w:rsid w:val="007F2370"/>
    <w:rsid w:val="007F252B"/>
    <w:rsid w:val="007F3685"/>
    <w:rsid w:val="007F5B8B"/>
    <w:rsid w:val="00807B9B"/>
    <w:rsid w:val="00817E9A"/>
    <w:rsid w:val="00822DC8"/>
    <w:rsid w:val="008245B5"/>
    <w:rsid w:val="00825739"/>
    <w:rsid w:val="00827786"/>
    <w:rsid w:val="00827BDA"/>
    <w:rsid w:val="00830D57"/>
    <w:rsid w:val="008310D6"/>
    <w:rsid w:val="00831E32"/>
    <w:rsid w:val="00831F00"/>
    <w:rsid w:val="00832021"/>
    <w:rsid w:val="00832EEF"/>
    <w:rsid w:val="00834530"/>
    <w:rsid w:val="008356DB"/>
    <w:rsid w:val="008358F6"/>
    <w:rsid w:val="00850CA0"/>
    <w:rsid w:val="00852A2F"/>
    <w:rsid w:val="008608EE"/>
    <w:rsid w:val="00860B07"/>
    <w:rsid w:val="008616F6"/>
    <w:rsid w:val="0086259C"/>
    <w:rsid w:val="0086549E"/>
    <w:rsid w:val="00866831"/>
    <w:rsid w:val="008674ED"/>
    <w:rsid w:val="0087074C"/>
    <w:rsid w:val="00874F3C"/>
    <w:rsid w:val="00875A10"/>
    <w:rsid w:val="00881ABE"/>
    <w:rsid w:val="00882205"/>
    <w:rsid w:val="00883F24"/>
    <w:rsid w:val="00885E88"/>
    <w:rsid w:val="008861F4"/>
    <w:rsid w:val="00886F9E"/>
    <w:rsid w:val="00890D3A"/>
    <w:rsid w:val="00892827"/>
    <w:rsid w:val="00897E1F"/>
    <w:rsid w:val="008A3E8E"/>
    <w:rsid w:val="008A7BB2"/>
    <w:rsid w:val="008B263C"/>
    <w:rsid w:val="008B2CB4"/>
    <w:rsid w:val="008B3D82"/>
    <w:rsid w:val="008B50F7"/>
    <w:rsid w:val="008B5503"/>
    <w:rsid w:val="008B6404"/>
    <w:rsid w:val="008C2C21"/>
    <w:rsid w:val="008C47EA"/>
    <w:rsid w:val="008C7DD3"/>
    <w:rsid w:val="008C7E23"/>
    <w:rsid w:val="008E000B"/>
    <w:rsid w:val="008E2926"/>
    <w:rsid w:val="008E35C6"/>
    <w:rsid w:val="008E3F49"/>
    <w:rsid w:val="008E7FBC"/>
    <w:rsid w:val="008F01B7"/>
    <w:rsid w:val="008F243B"/>
    <w:rsid w:val="008F3426"/>
    <w:rsid w:val="008F4675"/>
    <w:rsid w:val="008F50FE"/>
    <w:rsid w:val="008F69CD"/>
    <w:rsid w:val="008F7020"/>
    <w:rsid w:val="00901E60"/>
    <w:rsid w:val="00904580"/>
    <w:rsid w:val="00904A66"/>
    <w:rsid w:val="00905029"/>
    <w:rsid w:val="00906EE4"/>
    <w:rsid w:val="009161B2"/>
    <w:rsid w:val="009163BF"/>
    <w:rsid w:val="009177CF"/>
    <w:rsid w:val="00921A3A"/>
    <w:rsid w:val="0092287F"/>
    <w:rsid w:val="0092495B"/>
    <w:rsid w:val="00925CBF"/>
    <w:rsid w:val="0092660E"/>
    <w:rsid w:val="00930496"/>
    <w:rsid w:val="00934A07"/>
    <w:rsid w:val="009363F8"/>
    <w:rsid w:val="00936519"/>
    <w:rsid w:val="00941DA3"/>
    <w:rsid w:val="00942C0C"/>
    <w:rsid w:val="0094642F"/>
    <w:rsid w:val="00946E6A"/>
    <w:rsid w:val="00951711"/>
    <w:rsid w:val="009539E3"/>
    <w:rsid w:val="00954A5E"/>
    <w:rsid w:val="009551B2"/>
    <w:rsid w:val="0096022C"/>
    <w:rsid w:val="00964625"/>
    <w:rsid w:val="009655D0"/>
    <w:rsid w:val="00974D69"/>
    <w:rsid w:val="00980937"/>
    <w:rsid w:val="00981C1D"/>
    <w:rsid w:val="009823A5"/>
    <w:rsid w:val="00982403"/>
    <w:rsid w:val="009824AC"/>
    <w:rsid w:val="0099109C"/>
    <w:rsid w:val="00991EE0"/>
    <w:rsid w:val="009936DB"/>
    <w:rsid w:val="00993CFC"/>
    <w:rsid w:val="009A1DC2"/>
    <w:rsid w:val="009A271B"/>
    <w:rsid w:val="009A5EEA"/>
    <w:rsid w:val="009A6368"/>
    <w:rsid w:val="009B01E7"/>
    <w:rsid w:val="009B0906"/>
    <w:rsid w:val="009B38F2"/>
    <w:rsid w:val="009B406E"/>
    <w:rsid w:val="009B7433"/>
    <w:rsid w:val="009C0914"/>
    <w:rsid w:val="009C27E5"/>
    <w:rsid w:val="009C3045"/>
    <w:rsid w:val="009C7108"/>
    <w:rsid w:val="009D1567"/>
    <w:rsid w:val="009D24A1"/>
    <w:rsid w:val="009D3891"/>
    <w:rsid w:val="009D71E8"/>
    <w:rsid w:val="009E104B"/>
    <w:rsid w:val="009E7DE4"/>
    <w:rsid w:val="009F3BBD"/>
    <w:rsid w:val="009F5225"/>
    <w:rsid w:val="009F59C2"/>
    <w:rsid w:val="009F6083"/>
    <w:rsid w:val="00A0005D"/>
    <w:rsid w:val="00A022AB"/>
    <w:rsid w:val="00A047AA"/>
    <w:rsid w:val="00A04862"/>
    <w:rsid w:val="00A063DD"/>
    <w:rsid w:val="00A112B5"/>
    <w:rsid w:val="00A11C76"/>
    <w:rsid w:val="00A14EEA"/>
    <w:rsid w:val="00A33636"/>
    <w:rsid w:val="00A37D4D"/>
    <w:rsid w:val="00A44FBB"/>
    <w:rsid w:val="00A4780B"/>
    <w:rsid w:val="00A50085"/>
    <w:rsid w:val="00A50104"/>
    <w:rsid w:val="00A522E0"/>
    <w:rsid w:val="00A52823"/>
    <w:rsid w:val="00A53FF8"/>
    <w:rsid w:val="00A55648"/>
    <w:rsid w:val="00A559C2"/>
    <w:rsid w:val="00A56830"/>
    <w:rsid w:val="00A57E8D"/>
    <w:rsid w:val="00A63579"/>
    <w:rsid w:val="00A638AC"/>
    <w:rsid w:val="00A64475"/>
    <w:rsid w:val="00A66291"/>
    <w:rsid w:val="00A727E5"/>
    <w:rsid w:val="00A748B5"/>
    <w:rsid w:val="00A80A32"/>
    <w:rsid w:val="00A82A98"/>
    <w:rsid w:val="00A82D16"/>
    <w:rsid w:val="00A852F2"/>
    <w:rsid w:val="00A87107"/>
    <w:rsid w:val="00A8712A"/>
    <w:rsid w:val="00A95F75"/>
    <w:rsid w:val="00A968DA"/>
    <w:rsid w:val="00A96B83"/>
    <w:rsid w:val="00AA355B"/>
    <w:rsid w:val="00AA42E5"/>
    <w:rsid w:val="00AA4998"/>
    <w:rsid w:val="00AA5561"/>
    <w:rsid w:val="00AA55E7"/>
    <w:rsid w:val="00AA7B8B"/>
    <w:rsid w:val="00AB24FA"/>
    <w:rsid w:val="00AC19E9"/>
    <w:rsid w:val="00AC4DA0"/>
    <w:rsid w:val="00AC4EF8"/>
    <w:rsid w:val="00AC5D2E"/>
    <w:rsid w:val="00AD6351"/>
    <w:rsid w:val="00AD7B5A"/>
    <w:rsid w:val="00AE187F"/>
    <w:rsid w:val="00AE229F"/>
    <w:rsid w:val="00AE5475"/>
    <w:rsid w:val="00AF5E20"/>
    <w:rsid w:val="00B002FA"/>
    <w:rsid w:val="00B00327"/>
    <w:rsid w:val="00B024B3"/>
    <w:rsid w:val="00B11DE8"/>
    <w:rsid w:val="00B179ED"/>
    <w:rsid w:val="00B20C0D"/>
    <w:rsid w:val="00B20E18"/>
    <w:rsid w:val="00B21A16"/>
    <w:rsid w:val="00B22D87"/>
    <w:rsid w:val="00B26998"/>
    <w:rsid w:val="00B31FD5"/>
    <w:rsid w:val="00B331E1"/>
    <w:rsid w:val="00B34996"/>
    <w:rsid w:val="00B37F73"/>
    <w:rsid w:val="00B404BE"/>
    <w:rsid w:val="00B411E0"/>
    <w:rsid w:val="00B42974"/>
    <w:rsid w:val="00B5139D"/>
    <w:rsid w:val="00B572C4"/>
    <w:rsid w:val="00B57441"/>
    <w:rsid w:val="00B60858"/>
    <w:rsid w:val="00B618BC"/>
    <w:rsid w:val="00B633DA"/>
    <w:rsid w:val="00B74D4E"/>
    <w:rsid w:val="00B77CEF"/>
    <w:rsid w:val="00B80219"/>
    <w:rsid w:val="00B82500"/>
    <w:rsid w:val="00B85400"/>
    <w:rsid w:val="00B87184"/>
    <w:rsid w:val="00B91453"/>
    <w:rsid w:val="00B91A9B"/>
    <w:rsid w:val="00B9238D"/>
    <w:rsid w:val="00BA05F8"/>
    <w:rsid w:val="00BA0953"/>
    <w:rsid w:val="00BA19A5"/>
    <w:rsid w:val="00BA619C"/>
    <w:rsid w:val="00BA6B85"/>
    <w:rsid w:val="00BB1FAE"/>
    <w:rsid w:val="00BB31E5"/>
    <w:rsid w:val="00BC078B"/>
    <w:rsid w:val="00BC3A7D"/>
    <w:rsid w:val="00BC47A2"/>
    <w:rsid w:val="00BC67F6"/>
    <w:rsid w:val="00BC7D1D"/>
    <w:rsid w:val="00BC7E88"/>
    <w:rsid w:val="00BD2004"/>
    <w:rsid w:val="00BD4B12"/>
    <w:rsid w:val="00BD5C17"/>
    <w:rsid w:val="00BD700D"/>
    <w:rsid w:val="00BD7B21"/>
    <w:rsid w:val="00BE2F92"/>
    <w:rsid w:val="00BE3FDA"/>
    <w:rsid w:val="00BE44AC"/>
    <w:rsid w:val="00BF0D5F"/>
    <w:rsid w:val="00BF4835"/>
    <w:rsid w:val="00BF59B3"/>
    <w:rsid w:val="00BF6F95"/>
    <w:rsid w:val="00C043F1"/>
    <w:rsid w:val="00C04CA2"/>
    <w:rsid w:val="00C0626A"/>
    <w:rsid w:val="00C10BCF"/>
    <w:rsid w:val="00C11EB4"/>
    <w:rsid w:val="00C12746"/>
    <w:rsid w:val="00C16627"/>
    <w:rsid w:val="00C17162"/>
    <w:rsid w:val="00C23C11"/>
    <w:rsid w:val="00C25827"/>
    <w:rsid w:val="00C26FDB"/>
    <w:rsid w:val="00C31BB8"/>
    <w:rsid w:val="00C34722"/>
    <w:rsid w:val="00C36637"/>
    <w:rsid w:val="00C373EA"/>
    <w:rsid w:val="00C4226C"/>
    <w:rsid w:val="00C43008"/>
    <w:rsid w:val="00C437F0"/>
    <w:rsid w:val="00C43CA3"/>
    <w:rsid w:val="00C43D9D"/>
    <w:rsid w:val="00C43EA4"/>
    <w:rsid w:val="00C50040"/>
    <w:rsid w:val="00C5185D"/>
    <w:rsid w:val="00C52DFF"/>
    <w:rsid w:val="00C542BF"/>
    <w:rsid w:val="00C571CB"/>
    <w:rsid w:val="00C621C1"/>
    <w:rsid w:val="00C62989"/>
    <w:rsid w:val="00C63831"/>
    <w:rsid w:val="00C64F19"/>
    <w:rsid w:val="00C655A0"/>
    <w:rsid w:val="00C65CBB"/>
    <w:rsid w:val="00C66B58"/>
    <w:rsid w:val="00C70C1D"/>
    <w:rsid w:val="00C7422F"/>
    <w:rsid w:val="00C74684"/>
    <w:rsid w:val="00C77FEF"/>
    <w:rsid w:val="00C80E49"/>
    <w:rsid w:val="00C80F37"/>
    <w:rsid w:val="00C81EBB"/>
    <w:rsid w:val="00C83659"/>
    <w:rsid w:val="00C86D6D"/>
    <w:rsid w:val="00C91DEB"/>
    <w:rsid w:val="00C91E14"/>
    <w:rsid w:val="00C97A7F"/>
    <w:rsid w:val="00CA4421"/>
    <w:rsid w:val="00CA44E5"/>
    <w:rsid w:val="00CA508C"/>
    <w:rsid w:val="00CA5363"/>
    <w:rsid w:val="00CA7A78"/>
    <w:rsid w:val="00CA7D07"/>
    <w:rsid w:val="00CB24A4"/>
    <w:rsid w:val="00CB327E"/>
    <w:rsid w:val="00CB5B17"/>
    <w:rsid w:val="00CC4443"/>
    <w:rsid w:val="00CC5450"/>
    <w:rsid w:val="00CC5CAF"/>
    <w:rsid w:val="00CC6CEC"/>
    <w:rsid w:val="00CD1B7D"/>
    <w:rsid w:val="00CD3810"/>
    <w:rsid w:val="00CD3EEE"/>
    <w:rsid w:val="00CD4AF7"/>
    <w:rsid w:val="00CD58F9"/>
    <w:rsid w:val="00CD5A1C"/>
    <w:rsid w:val="00CE0F4F"/>
    <w:rsid w:val="00CE1431"/>
    <w:rsid w:val="00CE2AE7"/>
    <w:rsid w:val="00CF284D"/>
    <w:rsid w:val="00D017A9"/>
    <w:rsid w:val="00D06874"/>
    <w:rsid w:val="00D07530"/>
    <w:rsid w:val="00D12DD8"/>
    <w:rsid w:val="00D173F7"/>
    <w:rsid w:val="00D200E7"/>
    <w:rsid w:val="00D20203"/>
    <w:rsid w:val="00D204E0"/>
    <w:rsid w:val="00D21354"/>
    <w:rsid w:val="00D223D0"/>
    <w:rsid w:val="00D22400"/>
    <w:rsid w:val="00D2289A"/>
    <w:rsid w:val="00D23F4A"/>
    <w:rsid w:val="00D264E2"/>
    <w:rsid w:val="00D278BA"/>
    <w:rsid w:val="00D301D8"/>
    <w:rsid w:val="00D30AFF"/>
    <w:rsid w:val="00D335B8"/>
    <w:rsid w:val="00D33FE5"/>
    <w:rsid w:val="00D348C0"/>
    <w:rsid w:val="00D3578A"/>
    <w:rsid w:val="00D41E94"/>
    <w:rsid w:val="00D42FB1"/>
    <w:rsid w:val="00D43A15"/>
    <w:rsid w:val="00D4463C"/>
    <w:rsid w:val="00D453A5"/>
    <w:rsid w:val="00D501EE"/>
    <w:rsid w:val="00D517DC"/>
    <w:rsid w:val="00D5360D"/>
    <w:rsid w:val="00D5590D"/>
    <w:rsid w:val="00D56791"/>
    <w:rsid w:val="00D573E0"/>
    <w:rsid w:val="00D605AC"/>
    <w:rsid w:val="00D618E4"/>
    <w:rsid w:val="00D61DA5"/>
    <w:rsid w:val="00D63EC6"/>
    <w:rsid w:val="00D642A3"/>
    <w:rsid w:val="00D65981"/>
    <w:rsid w:val="00D71B8A"/>
    <w:rsid w:val="00D72C08"/>
    <w:rsid w:val="00D73472"/>
    <w:rsid w:val="00D80562"/>
    <w:rsid w:val="00D81325"/>
    <w:rsid w:val="00D8163A"/>
    <w:rsid w:val="00D82527"/>
    <w:rsid w:val="00D86BE2"/>
    <w:rsid w:val="00D875ED"/>
    <w:rsid w:val="00D877D0"/>
    <w:rsid w:val="00D90013"/>
    <w:rsid w:val="00D91B9C"/>
    <w:rsid w:val="00D91BDA"/>
    <w:rsid w:val="00D92C1B"/>
    <w:rsid w:val="00D94CC7"/>
    <w:rsid w:val="00DA123E"/>
    <w:rsid w:val="00DA1AF4"/>
    <w:rsid w:val="00DB0C60"/>
    <w:rsid w:val="00DC0EFC"/>
    <w:rsid w:val="00DC5392"/>
    <w:rsid w:val="00DC641A"/>
    <w:rsid w:val="00DD130B"/>
    <w:rsid w:val="00DD21A1"/>
    <w:rsid w:val="00DD22AA"/>
    <w:rsid w:val="00DD6B7D"/>
    <w:rsid w:val="00DD6E14"/>
    <w:rsid w:val="00DE15AC"/>
    <w:rsid w:val="00DE2ED9"/>
    <w:rsid w:val="00DE51ED"/>
    <w:rsid w:val="00DF2015"/>
    <w:rsid w:val="00E061EC"/>
    <w:rsid w:val="00E066FE"/>
    <w:rsid w:val="00E10E81"/>
    <w:rsid w:val="00E11585"/>
    <w:rsid w:val="00E13E51"/>
    <w:rsid w:val="00E13FFE"/>
    <w:rsid w:val="00E14FB9"/>
    <w:rsid w:val="00E17DDD"/>
    <w:rsid w:val="00E21F56"/>
    <w:rsid w:val="00E259A4"/>
    <w:rsid w:val="00E2676E"/>
    <w:rsid w:val="00E27EB9"/>
    <w:rsid w:val="00E3014F"/>
    <w:rsid w:val="00E30C1B"/>
    <w:rsid w:val="00E41F92"/>
    <w:rsid w:val="00E4286E"/>
    <w:rsid w:val="00E43EAD"/>
    <w:rsid w:val="00E46070"/>
    <w:rsid w:val="00E460CD"/>
    <w:rsid w:val="00E502C8"/>
    <w:rsid w:val="00E50A2E"/>
    <w:rsid w:val="00E51CE4"/>
    <w:rsid w:val="00E523EE"/>
    <w:rsid w:val="00E57877"/>
    <w:rsid w:val="00E57DDA"/>
    <w:rsid w:val="00E62DCB"/>
    <w:rsid w:val="00E651DD"/>
    <w:rsid w:val="00E66558"/>
    <w:rsid w:val="00E70D81"/>
    <w:rsid w:val="00E726A6"/>
    <w:rsid w:val="00E73418"/>
    <w:rsid w:val="00E8109E"/>
    <w:rsid w:val="00E83A3A"/>
    <w:rsid w:val="00E86550"/>
    <w:rsid w:val="00E86F05"/>
    <w:rsid w:val="00E95972"/>
    <w:rsid w:val="00E976A0"/>
    <w:rsid w:val="00EA316B"/>
    <w:rsid w:val="00EA3A2A"/>
    <w:rsid w:val="00EA454A"/>
    <w:rsid w:val="00EB0586"/>
    <w:rsid w:val="00EB0F31"/>
    <w:rsid w:val="00EB34FB"/>
    <w:rsid w:val="00EB3EEC"/>
    <w:rsid w:val="00EB4556"/>
    <w:rsid w:val="00EB5867"/>
    <w:rsid w:val="00EB618D"/>
    <w:rsid w:val="00EB6496"/>
    <w:rsid w:val="00EB64C8"/>
    <w:rsid w:val="00EB7DFB"/>
    <w:rsid w:val="00EC4FBC"/>
    <w:rsid w:val="00EC6AAF"/>
    <w:rsid w:val="00ED00E5"/>
    <w:rsid w:val="00ED4136"/>
    <w:rsid w:val="00ED5108"/>
    <w:rsid w:val="00ED69EA"/>
    <w:rsid w:val="00ED6AE8"/>
    <w:rsid w:val="00EE2CB2"/>
    <w:rsid w:val="00EF1503"/>
    <w:rsid w:val="00EF3BF7"/>
    <w:rsid w:val="00EF4307"/>
    <w:rsid w:val="00EF5156"/>
    <w:rsid w:val="00EF6C1E"/>
    <w:rsid w:val="00F012CA"/>
    <w:rsid w:val="00F01752"/>
    <w:rsid w:val="00F017D2"/>
    <w:rsid w:val="00F0355A"/>
    <w:rsid w:val="00F05C44"/>
    <w:rsid w:val="00F11205"/>
    <w:rsid w:val="00F15753"/>
    <w:rsid w:val="00F15C9C"/>
    <w:rsid w:val="00F21CAE"/>
    <w:rsid w:val="00F21F92"/>
    <w:rsid w:val="00F22C42"/>
    <w:rsid w:val="00F24A7E"/>
    <w:rsid w:val="00F32ABA"/>
    <w:rsid w:val="00F33DC0"/>
    <w:rsid w:val="00F33F28"/>
    <w:rsid w:val="00F35A40"/>
    <w:rsid w:val="00F35FDE"/>
    <w:rsid w:val="00F36B3A"/>
    <w:rsid w:val="00F40DE1"/>
    <w:rsid w:val="00F4142A"/>
    <w:rsid w:val="00F428F0"/>
    <w:rsid w:val="00F441E9"/>
    <w:rsid w:val="00F524D8"/>
    <w:rsid w:val="00F559FB"/>
    <w:rsid w:val="00F56664"/>
    <w:rsid w:val="00F62587"/>
    <w:rsid w:val="00F631A6"/>
    <w:rsid w:val="00F63E9E"/>
    <w:rsid w:val="00F66AA7"/>
    <w:rsid w:val="00F70282"/>
    <w:rsid w:val="00F71182"/>
    <w:rsid w:val="00F7503F"/>
    <w:rsid w:val="00F75603"/>
    <w:rsid w:val="00F756F9"/>
    <w:rsid w:val="00F76843"/>
    <w:rsid w:val="00F776E1"/>
    <w:rsid w:val="00F903B1"/>
    <w:rsid w:val="00F908BF"/>
    <w:rsid w:val="00F925EB"/>
    <w:rsid w:val="00F95D9E"/>
    <w:rsid w:val="00F95DCC"/>
    <w:rsid w:val="00F97033"/>
    <w:rsid w:val="00F97A81"/>
    <w:rsid w:val="00FA1D2E"/>
    <w:rsid w:val="00FA1D9E"/>
    <w:rsid w:val="00FA6DD0"/>
    <w:rsid w:val="00FC28DF"/>
    <w:rsid w:val="00FC2D0F"/>
    <w:rsid w:val="00FC30EF"/>
    <w:rsid w:val="00FC6B41"/>
    <w:rsid w:val="00FC6F37"/>
    <w:rsid w:val="00FD2297"/>
    <w:rsid w:val="00FD2F08"/>
    <w:rsid w:val="00FD6AC6"/>
    <w:rsid w:val="00FE1FC5"/>
    <w:rsid w:val="00FE3136"/>
    <w:rsid w:val="00FE4968"/>
    <w:rsid w:val="00FE50A3"/>
    <w:rsid w:val="00FE5204"/>
    <w:rsid w:val="00FE604C"/>
    <w:rsid w:val="00FE7AB3"/>
    <w:rsid w:val="00FF1269"/>
    <w:rsid w:val="00FF369D"/>
    <w:rsid w:val="00FF3724"/>
    <w:rsid w:val="00FF5252"/>
    <w:rsid w:val="00FF6FB0"/>
    <w:rsid w:val="00FF79A8"/>
    <w:rsid w:val="02762659"/>
    <w:rsid w:val="02A13991"/>
    <w:rsid w:val="05B6D577"/>
    <w:rsid w:val="069AA0E3"/>
    <w:rsid w:val="0789ADF8"/>
    <w:rsid w:val="07FFD3D3"/>
    <w:rsid w:val="080A48EA"/>
    <w:rsid w:val="0B240EAF"/>
    <w:rsid w:val="13173609"/>
    <w:rsid w:val="13325F53"/>
    <w:rsid w:val="191A818A"/>
    <w:rsid w:val="19ED2E9A"/>
    <w:rsid w:val="1A172959"/>
    <w:rsid w:val="1AE35DDA"/>
    <w:rsid w:val="1CBF4D92"/>
    <w:rsid w:val="23FEA335"/>
    <w:rsid w:val="2497129E"/>
    <w:rsid w:val="2860AB8E"/>
    <w:rsid w:val="2B636A04"/>
    <w:rsid w:val="2DFE5BB7"/>
    <w:rsid w:val="2FFB967E"/>
    <w:rsid w:val="306A8384"/>
    <w:rsid w:val="307A816E"/>
    <w:rsid w:val="3136F06A"/>
    <w:rsid w:val="31CC4DD9"/>
    <w:rsid w:val="380BAE89"/>
    <w:rsid w:val="3A3F1ACF"/>
    <w:rsid w:val="3BE13FA2"/>
    <w:rsid w:val="3EA4202B"/>
    <w:rsid w:val="418407A1"/>
    <w:rsid w:val="41EFD93D"/>
    <w:rsid w:val="44A98379"/>
    <w:rsid w:val="44B63F47"/>
    <w:rsid w:val="48B523A3"/>
    <w:rsid w:val="491E3A64"/>
    <w:rsid w:val="4BF69EA0"/>
    <w:rsid w:val="4CADF275"/>
    <w:rsid w:val="54C80030"/>
    <w:rsid w:val="57113414"/>
    <w:rsid w:val="5726C435"/>
    <w:rsid w:val="5C40C457"/>
    <w:rsid w:val="5F3A7B6B"/>
    <w:rsid w:val="617B4808"/>
    <w:rsid w:val="625D1A15"/>
    <w:rsid w:val="6659BDAE"/>
    <w:rsid w:val="6C38C18F"/>
    <w:rsid w:val="6D136A1A"/>
    <w:rsid w:val="6D28B1AF"/>
    <w:rsid w:val="6D616F43"/>
    <w:rsid w:val="6EB73EE5"/>
    <w:rsid w:val="75B8594E"/>
    <w:rsid w:val="765149DB"/>
    <w:rsid w:val="7689DB37"/>
    <w:rsid w:val="7A2CA68A"/>
    <w:rsid w:val="7F6E15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A8EBA3FD-7AA0-459D-A3FB-12A64E73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D0D0D"/>
      <w:sz w:val="24"/>
      <w:szCs w:val="24"/>
    </w:rPr>
  </w:style>
  <w:style w:type="paragraph" w:styleId="Heading1">
    <w:name w:val="heading 1"/>
    <w:basedOn w:val="Normal"/>
    <w:next w:val="Normal"/>
    <w:uiPriority w:val="9"/>
    <w:qFormat/>
    <w:pPr>
      <w:pageBreakBefore/>
      <w:outlineLvl w:val="0"/>
    </w:pPr>
    <w:rPr>
      <w:b/>
      <w:color w:val="104F75"/>
      <w:sz w:val="36"/>
    </w:rPr>
  </w:style>
  <w:style w:type="paragraph" w:styleId="Heading2">
    <w:name w:val="heading 2"/>
    <w:basedOn w:val="Normal"/>
    <w:next w:val="Normal"/>
    <w:uiPriority w:val="9"/>
    <w:unhideWhenUsed/>
    <w:qFormat/>
    <w:pPr>
      <w:keepNext/>
      <w:spacing w:before="480"/>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textAlignment w:val="baseline"/>
    </w:pPr>
    <w:rPr>
      <w:color w:val="auto"/>
      <w:szCs w:val="20"/>
      <w:lang w:eastAsia="en-US"/>
    </w:rPr>
  </w:style>
  <w:style w:type="paragraph" w:customStyle="1" w:styleId="Numbered">
    <w:name w:val="Numbered"/>
    <w:basedOn w:val="Normal"/>
    <w:pPr>
      <w:widowControl w:val="0"/>
      <w:overflowPunct w:val="0"/>
      <w:autoSpaceDE w:val="0"/>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styleId="NoSpacing">
    <w:name w:val="No Spacing"/>
    <w:uiPriority w:val="1"/>
    <w:qFormat/>
  </w:style>
  <w:style w:type="paragraph" w:customStyle="1" w:styleId="7TableHeading">
    <w:name w:val="7 Table Heading"/>
    <w:basedOn w:val="Normal"/>
    <w:link w:val="7TableHeadingChar"/>
    <w:rsid w:val="0057184D"/>
    <w:pPr>
      <w:suppressAutoHyphens w:val="0"/>
      <w:autoSpaceDN/>
      <w:spacing w:after="160" w:line="259" w:lineRule="auto"/>
    </w:pPr>
    <w:rPr>
      <w:rFonts w:ascii="Calibri" w:hAnsi="Calibri" w:cs="Arial"/>
      <w:color w:val="auto"/>
      <w:sz w:val="22"/>
      <w:szCs w:val="20"/>
    </w:rPr>
  </w:style>
  <w:style w:type="character" w:customStyle="1" w:styleId="7TableHeadingChar">
    <w:name w:val="7 Table Heading Char"/>
    <w:link w:val="7TableHeading"/>
    <w:rsid w:val="0057184D"/>
    <w:rPr>
      <w:rFonts w:ascii="Calibri" w:hAnsi="Calibri" w:cs="Arial"/>
      <w:sz w:val="22"/>
    </w:rPr>
  </w:style>
  <w:style w:type="paragraph" w:styleId="NormalWeb">
    <w:name w:val="Normal (Web)"/>
    <w:basedOn w:val="Normal"/>
    <w:uiPriority w:val="99"/>
    <w:unhideWhenUsed/>
    <w:rsid w:val="00892827"/>
    <w:pPr>
      <w:suppressAutoHyphens w:val="0"/>
      <w:autoSpaceDN/>
      <w:spacing w:before="100" w:beforeAutospacing="1" w:after="100" w:afterAutospacing="1"/>
    </w:pPr>
    <w:rPr>
      <w:rFonts w:ascii="Times New Roman" w:hAnsi="Times New Roman"/>
      <w:color w:val="auto"/>
    </w:rPr>
  </w:style>
  <w:style w:type="character" w:customStyle="1" w:styleId="eop">
    <w:name w:val="eop"/>
    <w:rsid w:val="00EB6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teaching-learning-toolkit/phonics" TargetMode="External"/><Relationship Id="rId18" Type="http://schemas.openxmlformats.org/officeDocument/2006/relationships/hyperlink" Target="https://educationendowmentfoundation.org.uk/evidence-summaries/teaching-learning-toolkit/small-group-tuitio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ducationendowmentfoundation.org.uk/evidence-summaries/teaching-learning-toolkit/oral-language-interventions/" TargetMode="External"/><Relationship Id="rId17" Type="http://schemas.openxmlformats.org/officeDocument/2006/relationships/hyperlink" Target="https://educationendowmentfoundation.org.uk/education-evidence/teaching-learning-toolkit/one-to-one-tuitio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ssets.publishing.service.gov.uk/media/664f600c05e5fe28788fc437/The_reading_framework_.pdf" TargetMode="External"/><Relationship Id="rId20" Type="http://schemas.openxmlformats.org/officeDocument/2006/relationships/hyperlink" Target="https://www.gov.uk/government/publications/working-together-to-improve-school-atten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2tic4wvo1iusb.cloudfront.net/production/documents/news/Diagnostic_Assessment_Tool.pdf?v=1697619973"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ducationendowmentfoundation.org.uk/evidence-summaries/teaching-learning-toolkit/phonic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ucationendowmentfoundation.org.uk/education-evidence/teaching-learning-toolkit/teaching-assistant-interven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guidance-reports/primary-se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6f9437-edad-4b70-8c1e-678e90a28dbe">
      <Terms xmlns="http://schemas.microsoft.com/office/infopath/2007/PartnerControls"/>
    </lcf76f155ced4ddcb4097134ff3c332f>
    <TaxCatchAll xmlns="13a34a21-b267-41f8-862e-9a79bb07b7ec" xsi:nil="true"/>
    <SharedWithUsers xmlns="13a34a21-b267-41f8-862e-9a79bb07b7ec">
      <UserInfo>
        <DisplayName>Joanna Mallabar</DisplayName>
        <AccountId>76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F448C662FB394AAC99D0785FCB9EFE" ma:contentTypeVersion="15" ma:contentTypeDescription="Create a new document." ma:contentTypeScope="" ma:versionID="66275f8cd539b6f660fbe981d87525ff">
  <xsd:schema xmlns:xsd="http://www.w3.org/2001/XMLSchema" xmlns:xs="http://www.w3.org/2001/XMLSchema" xmlns:p="http://schemas.microsoft.com/office/2006/metadata/properties" xmlns:ns2="466f9437-edad-4b70-8c1e-678e90a28dbe" xmlns:ns3="13a34a21-b267-41f8-862e-9a79bb07b7ec" targetNamespace="http://schemas.microsoft.com/office/2006/metadata/properties" ma:root="true" ma:fieldsID="1176073f14af4cbf28c1d88edcb534a9" ns2:_="" ns3:_="">
    <xsd:import namespace="466f9437-edad-4b70-8c1e-678e90a28dbe"/>
    <xsd:import namespace="13a34a21-b267-41f8-862e-9a79bb07b7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f9437-edad-4b70-8c1e-678e90a28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34a21-b267-41f8-862e-9a79bb07b7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6bb09e1-15b4-4321-ace0-e696a668651c}" ma:internalName="TaxCatchAll" ma:showField="CatchAllData" ma:web="13a34a21-b267-41f8-862e-9a79bb07b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1D104-00CA-41C8-BDD2-043018045F7E}">
  <ds:schemaRefs>
    <ds:schemaRef ds:uri="http://schemas.openxmlformats.org/officeDocument/2006/bibliography"/>
  </ds:schemaRefs>
</ds:datastoreItem>
</file>

<file path=customXml/itemProps2.xml><?xml version="1.0" encoding="utf-8"?>
<ds:datastoreItem xmlns:ds="http://schemas.openxmlformats.org/officeDocument/2006/customXml" ds:itemID="{CD27526B-9881-43B0-86F0-0FEAB1BD7671}">
  <ds:schemaRefs>
    <ds:schemaRef ds:uri="http://schemas.microsoft.com/office/2006/metadata/properties"/>
    <ds:schemaRef ds:uri="http://schemas.microsoft.com/office/infopath/2007/PartnerControls"/>
    <ds:schemaRef ds:uri="466f9437-edad-4b70-8c1e-678e90a28dbe"/>
    <ds:schemaRef ds:uri="13a34a21-b267-41f8-862e-9a79bb07b7ec"/>
  </ds:schemaRefs>
</ds:datastoreItem>
</file>

<file path=customXml/itemProps3.xml><?xml version="1.0" encoding="utf-8"?>
<ds:datastoreItem xmlns:ds="http://schemas.openxmlformats.org/officeDocument/2006/customXml" ds:itemID="{3910C604-DB17-4C9E-BC4A-5427618FC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f9437-edad-4b70-8c1e-678e90a28dbe"/>
    <ds:schemaRef ds:uri="13a34a21-b267-41f8-862e-9a79bb07b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ECD58-359D-4F20-B75E-0BE3D34C1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4685</Words>
  <Characters>26707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Sarah Rudd</cp:lastModifiedBy>
  <cp:revision>3</cp:revision>
  <cp:lastPrinted>2025-12-10T11:08:00Z</cp:lastPrinted>
  <dcterms:created xsi:type="dcterms:W3CDTF">2025-12-10T16:18:00Z</dcterms:created>
  <dcterms:modified xsi:type="dcterms:W3CDTF">2025-12-10T16:28:00Z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0x0101004BF448C662FB394AAC99D0785FCB9EFE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